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0C1094" w14:paraId="3C2E1D8F" w14:textId="77777777" w:rsidTr="00D5398E">
        <w:trPr>
          <w:jc w:val="center"/>
        </w:trPr>
        <w:tc>
          <w:tcPr>
            <w:tcW w:w="9604" w:type="dxa"/>
          </w:tcPr>
          <w:p w14:paraId="63C17595"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0FC8B783"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2234E306"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61F62D20"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5030D73B" w14:textId="449DC869"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004F019D" w:rsidRPr="00DF020E">
        <w:rPr>
          <w:rFonts w:ascii="Times New Roman" w:hAnsi="Times New Roman"/>
          <w:b/>
          <w:color w:val="221F1F"/>
          <w:w w:val="80"/>
          <w:sz w:val="28"/>
          <w:szCs w:val="28"/>
          <w:lang w:val="en-US"/>
        </w:rPr>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F019D">
        <w:rPr>
          <w:rFonts w:ascii="Times New Roman" w:hAnsi="Times New Roman"/>
          <w:b/>
          <w:color w:val="221F1F"/>
          <w:w w:val="80"/>
          <w:sz w:val="28"/>
          <w:szCs w:val="28"/>
        </w:rPr>
        <w:t>31</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7CBDDBEE" w14:textId="77777777" w:rsidR="00234411" w:rsidRPr="004F019D" w:rsidRDefault="00234411" w:rsidP="001F752F">
      <w:pPr>
        <w:pStyle w:val="aa"/>
        <w:spacing w:line="278" w:lineRule="auto"/>
        <w:ind w:left="0" w:right="-99"/>
        <w:rPr>
          <w:rFonts w:ascii="Times New Roman" w:hAnsi="Times New Roman" w:cs="Times New Roman"/>
          <w:b/>
          <w:bCs/>
          <w:sz w:val="8"/>
          <w:szCs w:val="8"/>
        </w:rPr>
      </w:pPr>
    </w:p>
    <w:p w14:paraId="1AAB3013" w14:textId="77777777" w:rsidR="00E6373A" w:rsidRPr="004F019D" w:rsidRDefault="005B7509" w:rsidP="0093576E">
      <w:pPr>
        <w:shd w:val="clear" w:color="auto" w:fill="FFFFFF"/>
        <w:spacing w:line="240" w:lineRule="auto"/>
        <w:jc w:val="center"/>
        <w:rPr>
          <w:rFonts w:ascii="Times New Roman" w:eastAsia="Times New Roman" w:hAnsi="Times New Roman"/>
          <w:b/>
          <w:bCs/>
          <w:color w:val="222222"/>
          <w:kern w:val="0"/>
          <w:sz w:val="28"/>
          <w:szCs w:val="28"/>
          <w:lang w:eastAsia="el-GR"/>
        </w:rPr>
      </w:pPr>
      <w:r w:rsidRPr="005B7509">
        <w:rPr>
          <w:rFonts w:ascii="Times New Roman" w:eastAsia="Times New Roman" w:hAnsi="Times New Roman"/>
          <w:b/>
          <w:bCs/>
          <w:color w:val="222222"/>
          <w:kern w:val="0"/>
          <w:sz w:val="28"/>
          <w:szCs w:val="28"/>
          <w:lang w:eastAsia="el-GR"/>
        </w:rPr>
        <w:t>ΔΕΛΤΙΟ ΤΥΠΟΥ</w:t>
      </w:r>
    </w:p>
    <w:p w14:paraId="7E9E4BD8" w14:textId="77777777" w:rsidR="004F019D" w:rsidRDefault="004F019D" w:rsidP="004F019D">
      <w:pPr>
        <w:shd w:val="clear" w:color="auto" w:fill="FFFFFF"/>
        <w:spacing w:after="60" w:line="235" w:lineRule="atLeast"/>
        <w:jc w:val="both"/>
        <w:rPr>
          <w:rFonts w:ascii="Times New Roman" w:eastAsia="Times New Roman" w:hAnsi="Times New Roman"/>
          <w:b/>
          <w:bCs/>
          <w:color w:val="222222"/>
          <w:kern w:val="0"/>
          <w:sz w:val="27"/>
          <w:szCs w:val="27"/>
          <w:lang w:eastAsia="el-GR"/>
        </w:rPr>
      </w:pPr>
      <w:r w:rsidRPr="004F019D">
        <w:rPr>
          <w:rFonts w:ascii="Times New Roman" w:eastAsia="Times New Roman" w:hAnsi="Times New Roman"/>
          <w:b/>
          <w:bCs/>
          <w:color w:val="222222"/>
          <w:kern w:val="0"/>
          <w:sz w:val="27"/>
          <w:szCs w:val="27"/>
          <w:lang w:eastAsia="el-GR"/>
        </w:rPr>
        <w:t>Νομική κάλυψη και ελεγκτική αποζημίωση τώρα – Οι γεωτεχνικοί δεν θα χρησιμεύουν άλλο ως «έργο» για την πολιτική διαφήμιση</w:t>
      </w:r>
    </w:p>
    <w:p w14:paraId="18D9049F"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16"/>
          <w:szCs w:val="16"/>
          <w:lang w:eastAsia="el-GR"/>
        </w:rPr>
      </w:pPr>
    </w:p>
    <w:p w14:paraId="19D09030" w14:textId="679A844E"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 xml:space="preserve">Η ΠΟΓΕΔΥ </w:t>
      </w:r>
      <w:hyperlink r:id="rId6" w:history="1">
        <w:r w:rsidRPr="00DF020E">
          <w:rPr>
            <w:rStyle w:val="-"/>
            <w:rFonts w:ascii="Times New Roman" w:eastAsia="Times New Roman" w:hAnsi="Times New Roman"/>
            <w:kern w:val="0"/>
            <w:sz w:val="25"/>
            <w:szCs w:val="25"/>
            <w:lang w:eastAsia="el-GR"/>
          </w:rPr>
          <w:t>καλεί πλέον επίσημα</w:t>
        </w:r>
      </w:hyperlink>
      <w:r w:rsidRPr="004F019D">
        <w:rPr>
          <w:rFonts w:ascii="Times New Roman" w:eastAsia="Times New Roman" w:hAnsi="Times New Roman"/>
          <w:color w:val="222222"/>
          <w:kern w:val="0"/>
          <w:sz w:val="25"/>
          <w:szCs w:val="25"/>
          <w:lang w:eastAsia="el-GR"/>
        </w:rPr>
        <w:t xml:space="preserve"> την πολιτική ηγεσία του </w:t>
      </w:r>
      <w:proofErr w:type="spellStart"/>
      <w:r w:rsidRPr="004F019D">
        <w:rPr>
          <w:rFonts w:ascii="Times New Roman" w:eastAsia="Times New Roman" w:hAnsi="Times New Roman"/>
          <w:color w:val="222222"/>
          <w:kern w:val="0"/>
          <w:sz w:val="25"/>
          <w:szCs w:val="25"/>
          <w:lang w:eastAsia="el-GR"/>
        </w:rPr>
        <w:t>ΥπΑΑΤ</w:t>
      </w:r>
      <w:proofErr w:type="spellEnd"/>
      <w:r w:rsidRPr="004F019D">
        <w:rPr>
          <w:rFonts w:ascii="Times New Roman" w:eastAsia="Times New Roman" w:hAnsi="Times New Roman"/>
          <w:color w:val="222222"/>
          <w:kern w:val="0"/>
          <w:sz w:val="25"/>
          <w:szCs w:val="25"/>
          <w:lang w:eastAsia="el-GR"/>
        </w:rPr>
        <w:t xml:space="preserve"> και το Διοικητικό Συμβούλιο του Ταμείου Γεωργίας και Κτηνοτροφίας να πάρουν </w:t>
      </w:r>
      <w:r w:rsidRPr="004F019D">
        <w:rPr>
          <w:rFonts w:ascii="Times New Roman" w:eastAsia="Times New Roman" w:hAnsi="Times New Roman"/>
          <w:b/>
          <w:bCs/>
          <w:color w:val="222222"/>
          <w:kern w:val="0"/>
          <w:sz w:val="25"/>
          <w:szCs w:val="25"/>
          <w:lang w:eastAsia="el-GR"/>
        </w:rPr>
        <w:t>σαφή, έγγραφη και αιτιολογημένη θέση</w:t>
      </w:r>
      <w:r w:rsidRPr="004F019D">
        <w:rPr>
          <w:rFonts w:ascii="Times New Roman" w:eastAsia="Times New Roman" w:hAnsi="Times New Roman"/>
          <w:color w:val="222222"/>
          <w:kern w:val="0"/>
          <w:sz w:val="25"/>
          <w:szCs w:val="25"/>
          <w:lang w:eastAsia="el-GR"/>
        </w:rPr>
        <w:t> για δύο αυτονόητα αιτήματα: </w:t>
      </w:r>
      <w:r w:rsidRPr="004F019D">
        <w:rPr>
          <w:rFonts w:ascii="Times New Roman" w:eastAsia="Times New Roman" w:hAnsi="Times New Roman"/>
          <w:b/>
          <w:bCs/>
          <w:color w:val="222222"/>
          <w:kern w:val="0"/>
          <w:sz w:val="25"/>
          <w:szCs w:val="25"/>
          <w:lang w:eastAsia="el-GR"/>
        </w:rPr>
        <w:t>τη νομική κάλυψη των γεωτεχνικών ελεγκτών και τη θεσμοθέτηση ειδικής ελεγκτικής αποζημίωσης</w:t>
      </w:r>
      <w:r w:rsidRPr="004F019D">
        <w:rPr>
          <w:rFonts w:ascii="Times New Roman" w:eastAsia="Times New Roman" w:hAnsi="Times New Roman"/>
          <w:color w:val="222222"/>
          <w:kern w:val="0"/>
          <w:sz w:val="25"/>
          <w:szCs w:val="25"/>
          <w:lang w:eastAsia="el-GR"/>
        </w:rPr>
        <w:t>, με αξιοποίηση των ανταποδοτικών πόρων που προέρχονται από το ίδιο το ελεγκτικό έργο.</w:t>
      </w:r>
    </w:p>
    <w:p w14:paraId="71383882"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Οι γεωτεχνικοί δεν εκτελούν μια απλή διοικητική διαδικασία. Ασκούν δημόσια εξουσία, διενεργούν επιτόπιους ελέγχους, υπογράφουν πράξεις με σοβαρές διοικητικές και οικονομικές συνέπειες και εκτίθενται προσωπικά σε δικαστικές και άλλες διαδικασίες εξαιτίας ακριβώς της άσκησης των υπηρεσιακών τους καθηκόντων.</w:t>
      </w:r>
    </w:p>
    <w:p w14:paraId="14DCC07A"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Η αντίφαση δεν μπορεί πλέον να κρυφτεί: </w:t>
      </w:r>
      <w:r w:rsidRPr="004F019D">
        <w:rPr>
          <w:rFonts w:ascii="Times New Roman" w:eastAsia="Times New Roman" w:hAnsi="Times New Roman"/>
          <w:b/>
          <w:bCs/>
          <w:color w:val="222222"/>
          <w:kern w:val="0"/>
          <w:sz w:val="25"/>
          <w:szCs w:val="25"/>
          <w:lang w:eastAsia="el-GR"/>
        </w:rPr>
        <w:t>Το κράτος εισπράττει από τους ελέγχους. Η πολιτική ηγεσία διαφημίζει τα αποτελέσματά τους. Οι γεωτεχνικοί αναλαμβάνουν την ευθύνη και τον κίνδυνο. Αλλά όταν ζητούν θεσμική προστασία και αναγνώριση του έργου τους, συναντούν σιωπή.</w:t>
      </w:r>
    </w:p>
    <w:p w14:paraId="73D0B580"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Αυτό δεν αποτελεί στήριξη ενός ισχυρού ελεγκτικού μηχανισμού. Αποτελεί </w:t>
      </w:r>
      <w:r w:rsidRPr="004F019D">
        <w:rPr>
          <w:rFonts w:ascii="Times New Roman" w:eastAsia="Times New Roman" w:hAnsi="Times New Roman"/>
          <w:b/>
          <w:bCs/>
          <w:color w:val="222222"/>
          <w:kern w:val="0"/>
          <w:sz w:val="25"/>
          <w:szCs w:val="25"/>
          <w:lang w:eastAsia="el-GR"/>
        </w:rPr>
        <w:t>θεσμική απαξίωση εκείνων πάνω στους οποίους στηρίζεται η λειτουργία του</w:t>
      </w:r>
      <w:r w:rsidRPr="004F019D">
        <w:rPr>
          <w:rFonts w:ascii="Times New Roman" w:eastAsia="Times New Roman" w:hAnsi="Times New Roman"/>
          <w:color w:val="222222"/>
          <w:kern w:val="0"/>
          <w:sz w:val="25"/>
          <w:szCs w:val="25"/>
          <w:lang w:eastAsia="el-GR"/>
        </w:rPr>
        <w:t>.</w:t>
      </w:r>
    </w:p>
    <w:p w14:paraId="28CFDDA5"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Η ΠΟΓΕΔΥ δεν ζητά πλέον γενικές διαβεβαιώσεις ούτε επικοινωνιακά «μπράβο». Ζητά </w:t>
      </w:r>
      <w:r w:rsidRPr="004F019D">
        <w:rPr>
          <w:rFonts w:ascii="Times New Roman" w:eastAsia="Times New Roman" w:hAnsi="Times New Roman"/>
          <w:b/>
          <w:bCs/>
          <w:color w:val="222222"/>
          <w:kern w:val="0"/>
          <w:sz w:val="25"/>
          <w:szCs w:val="25"/>
          <w:lang w:eastAsia="el-GR"/>
        </w:rPr>
        <w:t>απόφαση, νομική κάλυψη, ελεγκτική αποζημίωση και συγκεκριμένο χρονοδιάγραμμα</w:t>
      </w:r>
      <w:r w:rsidRPr="004F019D">
        <w:rPr>
          <w:rFonts w:ascii="Times New Roman" w:eastAsia="Times New Roman" w:hAnsi="Times New Roman"/>
          <w:color w:val="222222"/>
          <w:kern w:val="0"/>
          <w:sz w:val="25"/>
          <w:szCs w:val="25"/>
          <w:lang w:eastAsia="el-GR"/>
        </w:rPr>
        <w:t>.</w:t>
      </w:r>
    </w:p>
    <w:p w14:paraId="4976DD61"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color w:val="222222"/>
          <w:kern w:val="0"/>
          <w:sz w:val="25"/>
          <w:szCs w:val="25"/>
          <w:lang w:eastAsia="el-GR"/>
        </w:rPr>
        <w:t>Και επειδή υπάρχει ένα όριο πέρα από το οποίο η θεσμική ανοχή μετατρέπεται σε ανοχή της απαξίωσης, το ξεκαθαρίζουμε:</w:t>
      </w:r>
    </w:p>
    <w:p w14:paraId="7017B54A"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b/>
          <w:bCs/>
          <w:color w:val="222222"/>
          <w:kern w:val="0"/>
          <w:sz w:val="25"/>
          <w:szCs w:val="25"/>
          <w:lang w:eastAsia="el-GR"/>
        </w:rPr>
        <w:t>Εάν η Πολιτεία εξακολουθήσει να μην αναγνωρίζει έμπρακτα τη συμβολή των γεωτεχνικών, ενώ ταυτόχρονα χρησιμοποιεί το έργο τους για πολιτική και επικοινωνιακή προβολή, η ΠΟΓΕΔΥ δεν θα έχει πλέον άλλο δρόμο από την προσφυγή στα αρμόδια ελεγκτικά και δικαστικά όργανα και την αναζήτηση, όπου συντρέχει, κάθε διοικητικής, πειθαρχικής, αστικής ή ποινικής ευθύνης από κάθε πρόσωπο που με πράξη ή παράλειψή του συμβάλλει στη συνεχιζόμενη απαξίωση και στην ελλιπή θεσμική προστασία των γεωτεχνικών.</w:t>
      </w:r>
    </w:p>
    <w:p w14:paraId="5892DD07" w14:textId="5B5951BE" w:rsidR="004F019D" w:rsidRPr="004F019D" w:rsidRDefault="000C1094"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hyperlink r:id="rId7" w:history="1">
        <w:r w:rsidR="004F019D" w:rsidRPr="000C1094">
          <w:rPr>
            <w:rStyle w:val="-"/>
            <w:rFonts w:ascii="Times New Roman" w:eastAsia="Times New Roman" w:hAnsi="Times New Roman"/>
            <w:b/>
            <w:bCs/>
            <w:kern w:val="0"/>
            <w:sz w:val="25"/>
            <w:szCs w:val="25"/>
            <w:lang w:eastAsia="el-GR"/>
          </w:rPr>
          <w:t>Το έργο μας δεν είναι διαφημιστικό υλικό κανενός</w:t>
        </w:r>
      </w:hyperlink>
      <w:r w:rsidR="004F019D" w:rsidRPr="004F019D">
        <w:rPr>
          <w:rFonts w:ascii="Times New Roman" w:eastAsia="Times New Roman" w:hAnsi="Times New Roman"/>
          <w:b/>
          <w:bCs/>
          <w:color w:val="222222"/>
          <w:kern w:val="0"/>
          <w:sz w:val="25"/>
          <w:szCs w:val="25"/>
          <w:lang w:eastAsia="el-GR"/>
        </w:rPr>
        <w:t>.</w:t>
      </w:r>
    </w:p>
    <w:p w14:paraId="15364D35" w14:textId="77777777" w:rsidR="004F019D" w:rsidRPr="004F019D" w:rsidRDefault="004F019D" w:rsidP="004F019D">
      <w:pPr>
        <w:shd w:val="clear" w:color="auto" w:fill="FFFFFF"/>
        <w:spacing w:after="60" w:line="235" w:lineRule="atLeast"/>
        <w:jc w:val="both"/>
        <w:rPr>
          <w:rFonts w:ascii="Times New Roman" w:eastAsia="Times New Roman" w:hAnsi="Times New Roman"/>
          <w:color w:val="222222"/>
          <w:kern w:val="0"/>
          <w:sz w:val="25"/>
          <w:szCs w:val="25"/>
          <w:lang w:eastAsia="el-GR"/>
        </w:rPr>
      </w:pPr>
      <w:r w:rsidRPr="004F019D">
        <w:rPr>
          <w:rFonts w:ascii="Times New Roman" w:eastAsia="Times New Roman" w:hAnsi="Times New Roman"/>
          <w:b/>
          <w:bCs/>
          <w:color w:val="222222"/>
          <w:kern w:val="0"/>
          <w:sz w:val="25"/>
          <w:szCs w:val="25"/>
          <w:lang w:eastAsia="el-GR"/>
        </w:rPr>
        <w:t>Ή θα στηριχθεί θεσμικά ή πλέον οι ευθύνες θα αναζητηθούν θεσμικά.</w:t>
      </w:r>
    </w:p>
    <w:p w14:paraId="393B011E" w14:textId="77777777" w:rsidR="000F1B4D" w:rsidRPr="004F019D" w:rsidRDefault="000F1B4D" w:rsidP="000F1B4D">
      <w:pPr>
        <w:spacing w:after="0" w:line="240" w:lineRule="auto"/>
        <w:ind w:right="-99"/>
        <w:jc w:val="both"/>
        <w:rPr>
          <w:rFonts w:ascii="Times New Roman" w:eastAsia="Times New Roman" w:hAnsi="Times New Roman"/>
          <w:b/>
          <w:bCs/>
          <w:kern w:val="0"/>
          <w:lang w:eastAsia="el-GR"/>
        </w:rPr>
      </w:pPr>
    </w:p>
    <w:p w14:paraId="27A6A5A1" w14:textId="4F4A486D" w:rsidR="00FA6B32" w:rsidRPr="0093576E" w:rsidRDefault="001906EE" w:rsidP="000F1B4D">
      <w:pPr>
        <w:spacing w:line="360" w:lineRule="auto"/>
        <w:ind w:left="4320"/>
        <w:jc w:val="both"/>
        <w:rPr>
          <w:rFonts w:asciiTheme="minorHAnsi" w:hAnsiTheme="minorHAnsi" w:cstheme="minorHAnsi"/>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93576E" w:rsidRPr="004F019D">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4F019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sidRPr="0093576E">
        <w:rPr>
          <w:rStyle w:val="ac"/>
          <w:rFonts w:asciiTheme="minorHAnsi" w:hAnsiTheme="minorHAnsi" w:cstheme="minorHAnsi"/>
        </w:rPr>
        <w:t>Για το Δ.Σ</w:t>
      </w:r>
    </w:p>
    <w:p w14:paraId="3F2CE123"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37C5D8C7" wp14:editId="7BA4A6CC">
            <wp:extent cx="1121295" cy="929640"/>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12465" cy="1005227"/>
                    </a:xfrm>
                    <a:prstGeom prst="rect">
                      <a:avLst/>
                    </a:prstGeom>
                    <a:noFill/>
                    <a:ln w="9525">
                      <a:noFill/>
                      <a:miter lim="800000"/>
                      <a:headEnd/>
                      <a:tailEnd/>
                    </a:ln>
                  </pic:spPr>
                </pic:pic>
              </a:graphicData>
            </a:graphic>
          </wp:inline>
        </w:drawing>
      </w:r>
    </w:p>
    <w:sectPr w:rsidR="00FA6B32" w:rsidRPr="00FA6B32" w:rsidSect="004F019D">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764259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7858708">
    <w:abstractNumId w:val="11"/>
  </w:num>
  <w:num w:numId="3" w16cid:durableId="1993409678">
    <w:abstractNumId w:val="5"/>
  </w:num>
  <w:num w:numId="4" w16cid:durableId="1057166069">
    <w:abstractNumId w:val="1"/>
  </w:num>
  <w:num w:numId="5" w16cid:durableId="894318423">
    <w:abstractNumId w:val="2"/>
  </w:num>
  <w:num w:numId="6" w16cid:durableId="196545454">
    <w:abstractNumId w:val="4"/>
  </w:num>
  <w:num w:numId="7" w16cid:durableId="761298798">
    <w:abstractNumId w:val="10"/>
  </w:num>
  <w:num w:numId="8" w16cid:durableId="884683569">
    <w:abstractNumId w:val="0"/>
  </w:num>
  <w:num w:numId="9" w16cid:durableId="496386787">
    <w:abstractNumId w:val="6"/>
  </w:num>
  <w:num w:numId="10" w16cid:durableId="1838692215">
    <w:abstractNumId w:val="7"/>
  </w:num>
  <w:num w:numId="11" w16cid:durableId="1435899901">
    <w:abstractNumId w:val="9"/>
  </w:num>
  <w:num w:numId="12" w16cid:durableId="934706950">
    <w:abstractNumId w:val="8"/>
  </w:num>
  <w:num w:numId="13" w16cid:durableId="1015351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1094"/>
    <w:rsid w:val="000C23F3"/>
    <w:rsid w:val="000D54B5"/>
    <w:rsid w:val="000F1B4D"/>
    <w:rsid w:val="000F1DB6"/>
    <w:rsid w:val="000F3DD2"/>
    <w:rsid w:val="00111D22"/>
    <w:rsid w:val="00117AA4"/>
    <w:rsid w:val="0017602D"/>
    <w:rsid w:val="00180B48"/>
    <w:rsid w:val="001906EE"/>
    <w:rsid w:val="001A6AA7"/>
    <w:rsid w:val="001C2EF8"/>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0A31"/>
    <w:rsid w:val="0045114A"/>
    <w:rsid w:val="00462841"/>
    <w:rsid w:val="00474DAC"/>
    <w:rsid w:val="00476374"/>
    <w:rsid w:val="00477E7F"/>
    <w:rsid w:val="00482185"/>
    <w:rsid w:val="004A0873"/>
    <w:rsid w:val="004E1986"/>
    <w:rsid w:val="004F019D"/>
    <w:rsid w:val="00500175"/>
    <w:rsid w:val="0050352B"/>
    <w:rsid w:val="00513FFC"/>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020FB"/>
    <w:rsid w:val="00720D7B"/>
    <w:rsid w:val="00747815"/>
    <w:rsid w:val="007551D1"/>
    <w:rsid w:val="00781491"/>
    <w:rsid w:val="0078720C"/>
    <w:rsid w:val="007B0CE6"/>
    <w:rsid w:val="007C32EE"/>
    <w:rsid w:val="007C7C25"/>
    <w:rsid w:val="007D6712"/>
    <w:rsid w:val="007E4D4C"/>
    <w:rsid w:val="007E7385"/>
    <w:rsid w:val="00801BED"/>
    <w:rsid w:val="008127A1"/>
    <w:rsid w:val="0084433E"/>
    <w:rsid w:val="00850497"/>
    <w:rsid w:val="00856B89"/>
    <w:rsid w:val="008764C1"/>
    <w:rsid w:val="00883A7A"/>
    <w:rsid w:val="008B6920"/>
    <w:rsid w:val="008E0DB0"/>
    <w:rsid w:val="008E628C"/>
    <w:rsid w:val="009002E4"/>
    <w:rsid w:val="009178D0"/>
    <w:rsid w:val="009205F8"/>
    <w:rsid w:val="00934819"/>
    <w:rsid w:val="0093576E"/>
    <w:rsid w:val="0095620E"/>
    <w:rsid w:val="009651A6"/>
    <w:rsid w:val="009857E4"/>
    <w:rsid w:val="00990A98"/>
    <w:rsid w:val="009A7C66"/>
    <w:rsid w:val="009B77A8"/>
    <w:rsid w:val="009C3C3D"/>
    <w:rsid w:val="009D0252"/>
    <w:rsid w:val="009D0A5A"/>
    <w:rsid w:val="009D1417"/>
    <w:rsid w:val="009D3FC4"/>
    <w:rsid w:val="009E2D88"/>
    <w:rsid w:val="009E5AC9"/>
    <w:rsid w:val="009F210B"/>
    <w:rsid w:val="00A10C0D"/>
    <w:rsid w:val="00A42E9F"/>
    <w:rsid w:val="00A56C1A"/>
    <w:rsid w:val="00A577DC"/>
    <w:rsid w:val="00A7314C"/>
    <w:rsid w:val="00AA3D8A"/>
    <w:rsid w:val="00AC337A"/>
    <w:rsid w:val="00AC6A84"/>
    <w:rsid w:val="00AD599E"/>
    <w:rsid w:val="00AE168E"/>
    <w:rsid w:val="00AE4D16"/>
    <w:rsid w:val="00AE620A"/>
    <w:rsid w:val="00AF6E3C"/>
    <w:rsid w:val="00B00615"/>
    <w:rsid w:val="00B00F7C"/>
    <w:rsid w:val="00B0514A"/>
    <w:rsid w:val="00B12886"/>
    <w:rsid w:val="00B42166"/>
    <w:rsid w:val="00B45086"/>
    <w:rsid w:val="00B50E20"/>
    <w:rsid w:val="00B92255"/>
    <w:rsid w:val="00BA445D"/>
    <w:rsid w:val="00BD3DB7"/>
    <w:rsid w:val="00BD6026"/>
    <w:rsid w:val="00BD6B05"/>
    <w:rsid w:val="00C92382"/>
    <w:rsid w:val="00CB1CF6"/>
    <w:rsid w:val="00CF0572"/>
    <w:rsid w:val="00D02018"/>
    <w:rsid w:val="00D042CD"/>
    <w:rsid w:val="00D11DFF"/>
    <w:rsid w:val="00D15FE3"/>
    <w:rsid w:val="00D17673"/>
    <w:rsid w:val="00D37511"/>
    <w:rsid w:val="00D5398E"/>
    <w:rsid w:val="00D6608E"/>
    <w:rsid w:val="00D86283"/>
    <w:rsid w:val="00DB2625"/>
    <w:rsid w:val="00DF020E"/>
    <w:rsid w:val="00E12FB4"/>
    <w:rsid w:val="00E350C1"/>
    <w:rsid w:val="00E35771"/>
    <w:rsid w:val="00E53FA4"/>
    <w:rsid w:val="00E54A04"/>
    <w:rsid w:val="00E6373A"/>
    <w:rsid w:val="00E64022"/>
    <w:rsid w:val="00E756A9"/>
    <w:rsid w:val="00E81F7F"/>
    <w:rsid w:val="00EA0B06"/>
    <w:rsid w:val="00ED151D"/>
    <w:rsid w:val="00EE3752"/>
    <w:rsid w:val="00F13201"/>
    <w:rsid w:val="00F14721"/>
    <w:rsid w:val="00F5200D"/>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8FC0"/>
  <w15:docId w15:val="{AF72A8BE-F178-4E28-AD08-5C9EA7D5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 w:type="character" w:styleId="ae">
    <w:name w:val="Unresolved Mention"/>
    <w:basedOn w:val="a0"/>
    <w:uiPriority w:val="99"/>
    <w:semiHidden/>
    <w:unhideWhenUsed/>
    <w:rsid w:val="00DF0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477455200">
      <w:bodyDiv w:val="1"/>
      <w:marLeft w:val="0"/>
      <w:marRight w:val="0"/>
      <w:marTop w:val="0"/>
      <w:marBottom w:val="0"/>
      <w:divBdr>
        <w:top w:val="none" w:sz="0" w:space="0" w:color="auto"/>
        <w:left w:val="none" w:sz="0" w:space="0" w:color="auto"/>
        <w:bottom w:val="none" w:sz="0" w:space="0" w:color="auto"/>
        <w:right w:val="none" w:sz="0" w:space="0" w:color="auto"/>
      </w:divBdr>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22299040">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egdy.gr/%ce%bc%ce%b5-%cf%84%ce%b1-likes-%ce%b4%ce%b5%ce%bd-%ce%ba%ce%b1%ce%bb%cf%8d%cf%80%cf%84%ce%bf%ce%bd%cf%84%ce%b1%ce%b9-%ce%bd%ce%bf%ce%bc%ce%b9%ce%ba%ce%ac-%ce%bf%ce%b9-%ce%b5%ce%bb%ce%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gdy.gr/%ce%b1%ce%af%cf%84%ce%b7%ce%bc%ce%b1-%ce%b3%ce%b9%ce%b1-%cf%84%ce%b7-%ce%bd%ce%bf%ce%bc%ce%b9%ce%ba%ce%ae-%cf%80%cf%81%ce%bf%cf%83%cf%84%ce%b1%cf%83%ce%af%ce%b1-%ce%ba%ce%b1%ce%b9-%cf%84%ce%b7%ce%bd/" TargetMode="External"/><Relationship Id="rId5" Type="http://schemas.openxmlformats.org/officeDocument/2006/relationships/hyperlink" Target="mailto:e-mail%20:%20ax2u128@minagric.g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467</Words>
  <Characters>2525</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2987</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4</cp:revision>
  <dcterms:created xsi:type="dcterms:W3CDTF">2026-08-31T06:03:00Z</dcterms:created>
  <dcterms:modified xsi:type="dcterms:W3CDTF">2026-08-31T06:10:00Z</dcterms:modified>
</cp:coreProperties>
</file>