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BD6026" w14:paraId="45A4B6D5" w14:textId="77777777" w:rsidTr="000F1B4D">
        <w:tc>
          <w:tcPr>
            <w:tcW w:w="9385" w:type="dxa"/>
          </w:tcPr>
          <w:p w14:paraId="61CC05E2"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6B0A972D"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10567EA7"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61459652"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5B06EA8F"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A10C0D">
        <w:rPr>
          <w:rFonts w:ascii="Times New Roman" w:hAnsi="Times New Roman"/>
          <w:b/>
          <w:color w:val="221F1F"/>
          <w:w w:val="80"/>
          <w:sz w:val="28"/>
          <w:szCs w:val="28"/>
          <w:lang w:val="en-US"/>
        </w:rPr>
        <w:t xml:space="preserve"> </w:t>
      </w:r>
      <w:r w:rsidR="000F1B4D" w:rsidRPr="00A10C0D">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234411">
        <w:rPr>
          <w:rFonts w:ascii="Times New Roman" w:hAnsi="Times New Roman"/>
          <w:b/>
          <w:color w:val="221F1F"/>
          <w:w w:val="80"/>
          <w:sz w:val="28"/>
          <w:szCs w:val="28"/>
        </w:rPr>
        <w:t>1</w:t>
      </w:r>
      <w:r w:rsidR="00BD6026">
        <w:rPr>
          <w:rFonts w:ascii="Times New Roman" w:hAnsi="Times New Roman"/>
          <w:b/>
          <w:color w:val="221F1F"/>
          <w:w w:val="80"/>
          <w:sz w:val="28"/>
          <w:szCs w:val="28"/>
        </w:rPr>
        <w:t>2</w:t>
      </w:r>
      <w:r w:rsidR="00E756A9">
        <w:rPr>
          <w:rFonts w:ascii="Times New Roman" w:hAnsi="Times New Roman"/>
          <w:b/>
          <w:color w:val="221F1F"/>
          <w:w w:val="80"/>
          <w:sz w:val="28"/>
          <w:szCs w:val="28"/>
        </w:rPr>
        <w:t>-</w:t>
      </w:r>
      <w:r w:rsidR="00095D2E">
        <w:rPr>
          <w:rFonts w:ascii="Times New Roman" w:hAnsi="Times New Roman"/>
          <w:b/>
          <w:color w:val="221F1F"/>
          <w:w w:val="80"/>
          <w:sz w:val="28"/>
          <w:szCs w:val="28"/>
        </w:rPr>
        <w:t>0</w:t>
      </w:r>
      <w:r w:rsidR="00E756A9">
        <w:rPr>
          <w:rFonts w:ascii="Times New Roman" w:hAnsi="Times New Roman"/>
          <w:b/>
          <w:color w:val="221F1F"/>
          <w:w w:val="80"/>
          <w:sz w:val="28"/>
          <w:szCs w:val="28"/>
        </w:rPr>
        <w:t>6-2026</w:t>
      </w:r>
    </w:p>
    <w:p w14:paraId="33616058" w14:textId="77777777" w:rsidR="00234411" w:rsidRDefault="00234411" w:rsidP="000F1B4D">
      <w:pPr>
        <w:pStyle w:val="aa"/>
        <w:spacing w:line="278" w:lineRule="auto"/>
        <w:ind w:left="0" w:right="-241"/>
        <w:jc w:val="center"/>
        <w:rPr>
          <w:rFonts w:ascii="Times New Roman" w:hAnsi="Times New Roman" w:cs="Times New Roman"/>
          <w:b/>
          <w:w w:val="85"/>
          <w:sz w:val="28"/>
          <w:szCs w:val="28"/>
        </w:rPr>
      </w:pPr>
    </w:p>
    <w:p w14:paraId="39B9D521" w14:textId="77777777" w:rsidR="000F1B4D" w:rsidRDefault="00FA6B32" w:rsidP="000F1B4D">
      <w:pPr>
        <w:pStyle w:val="aa"/>
        <w:spacing w:line="278" w:lineRule="auto"/>
        <w:ind w:left="0" w:right="-241"/>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14:paraId="29321F91" w14:textId="77777777" w:rsidR="00234411" w:rsidRPr="00BD6026" w:rsidRDefault="00234411" w:rsidP="001F752F">
      <w:pPr>
        <w:pStyle w:val="aa"/>
        <w:spacing w:line="278" w:lineRule="auto"/>
        <w:ind w:left="0" w:right="-99"/>
        <w:rPr>
          <w:rFonts w:ascii="Times New Roman" w:hAnsi="Times New Roman" w:cs="Times New Roman"/>
          <w:b/>
          <w:bCs/>
          <w:sz w:val="24"/>
          <w:szCs w:val="24"/>
        </w:rPr>
      </w:pPr>
    </w:p>
    <w:p w14:paraId="02F1C995" w14:textId="77777777" w:rsidR="00095D2E" w:rsidRPr="007A796E" w:rsidRDefault="009A7C66" w:rsidP="00095D2E">
      <w:pPr>
        <w:pStyle w:val="Web"/>
        <w:spacing w:line="300" w:lineRule="atLeast"/>
        <w:jc w:val="center"/>
        <w:rPr>
          <w:sz w:val="28"/>
          <w:szCs w:val="28"/>
        </w:rPr>
      </w:pPr>
      <w:r w:rsidRPr="00BD6026">
        <w:rPr>
          <w:b/>
          <w:bCs/>
          <w:sz w:val="28"/>
          <w:szCs w:val="28"/>
        </w:rPr>
        <w:t>ΘΕΜΑ:</w:t>
      </w:r>
      <w:r w:rsidR="001F752F" w:rsidRPr="00A10C0D">
        <w:t xml:space="preserve"> </w:t>
      </w:r>
      <w:r w:rsidR="00BD6026" w:rsidRPr="00BD6026">
        <w:rPr>
          <w:b/>
          <w:color w:val="000000"/>
          <w:sz w:val="28"/>
          <w:szCs w:val="28"/>
          <w:shd w:val="clear" w:color="auto" w:fill="FFFFFF"/>
        </w:rPr>
        <w:t>Η απάντηση του ΥΠΑΑΤ δικαιώνει πλήρως τις παρεμβάσεις της ΠΟΓΕΔΥ – Ζητούμε την παραίτηση του Γενικού Γραμματέα που εποπτεύει το ΤΓΚ</w:t>
      </w:r>
    </w:p>
    <w:p w14:paraId="10CF0CAF" w14:textId="77777777" w:rsidR="009B77A8" w:rsidRPr="009B77A8" w:rsidRDefault="00D17673" w:rsidP="009B77A8">
      <w:pPr>
        <w:shd w:val="clear" w:color="auto" w:fill="FFFFFF"/>
        <w:spacing w:after="60"/>
        <w:jc w:val="both"/>
        <w:rPr>
          <w:rFonts w:ascii="Times New Roman" w:eastAsia="Times New Roman" w:hAnsi="Times New Roman"/>
          <w:color w:val="222222"/>
          <w:kern w:val="0"/>
          <w:sz w:val="28"/>
          <w:szCs w:val="28"/>
          <w:lang w:eastAsia="el-GR"/>
        </w:rPr>
      </w:pPr>
      <w:r w:rsidRPr="009B77A8">
        <w:rPr>
          <w:rFonts w:ascii="Times New Roman" w:hAnsi="Times New Roman"/>
          <w:sz w:val="28"/>
          <w:szCs w:val="28"/>
        </w:rPr>
        <w:t xml:space="preserve"> </w:t>
      </w:r>
      <w:r w:rsidR="00570380" w:rsidRPr="009B77A8">
        <w:rPr>
          <w:rFonts w:ascii="Times New Roman" w:hAnsi="Times New Roman"/>
          <w:sz w:val="28"/>
          <w:szCs w:val="28"/>
        </w:rPr>
        <w:t xml:space="preserve"> </w:t>
      </w:r>
      <w:r w:rsidR="009B77A8" w:rsidRPr="009B77A8">
        <w:rPr>
          <w:rFonts w:ascii="Times New Roman" w:eastAsia="Times New Roman" w:hAnsi="Times New Roman"/>
          <w:color w:val="000000"/>
          <w:kern w:val="0"/>
          <w:sz w:val="28"/>
          <w:szCs w:val="28"/>
          <w:lang w:eastAsia="el-GR"/>
        </w:rPr>
        <w:t>Η πρόσφατη απάντηση του Υπουργείου Αγροτικής Ανάπτυξης και Τροφίμων σε κοινοβουλευτικό έλεγχο σχετικά με τη λειτουργία του Ταμείου Γεωργίας και Κτηνοτροφίας (ΤΓΚ) επιβεβαιώνει, δυστυχώς, όλα όσα η ΠΟΓΕΔΥ έχει αναδείξει με συνεχείς παρεμβάσεις, ανακοινώσεις και έγγραφες καταγγελίες τα τελευταία χρόνια.</w:t>
      </w:r>
    </w:p>
    <w:p w14:paraId="722647DA"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Η ίδια η απάντηση του Υπουργείου αποκαλύπτει ότι εξακολουθούν να υπάρχουν σοβαρές εκκρεμότητες στην οικονομική διαχείριση και στον έλεγχο του Ταμείου. Αναγνωρίζεται η ύπαρξη οριστικής έκθεσης δημοσιονομικού ελέγχου, η εκκρεμότητα έγκρισης οικονομικών καταστάσεων και ισολογισμών προηγούμενων ετών, η ανάγκη ανάθεσης ελέγχων σε Ορκωτούς Ελεγκτές – Λογιστές, καθώς και η σύσταση ειδικού ελεγκτικού κλιμακίου για τον έλεγχο και τη σύνταξη των ισολογισμών των ετών 2018-2022 λόγω του εύρους του αντικειμένου, της σοβαρότητας του θέματος και της ανάγκης προστασίας του δημοσίου συμφέροντος.</w:t>
      </w:r>
    </w:p>
    <w:p w14:paraId="419F6278"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Ακόμη πιο σημαντικό είναι το γεγονός ότι το ίδιο το Υπουργείο παραδέχεται ότι βρίσκονται σε εξέλιξη διαδικασίες αναθεώρησης και αλλαγών του θεσμικού πλαισίου λειτουργίας του ΤΓΚ, με βάση τα ευρήματα των ελεγκτικών αρχών και τις παρατηρήσεις των αρμόδιων υπηρεσιών. Πρόκειται για μια σαφή επιβεβαίωση ότι τα προβλήματα που επί χρόνια αναδεικνύει η ΠΟΓΕΔΥ δεν ήταν ούτε υπερβολικά ούτε αβάσιμα.</w:t>
      </w:r>
    </w:p>
    <w:p w14:paraId="1A915B34"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 xml:space="preserve">Παράλληλα, η απάντηση επιβεβαιώνει ότι το ΤΓΚ εισπράττει σημαντικά έσοδα από πρόστιμα, παράβολα, ανταποδοτικά τέλη, εργαστηριακές εξετάσεις, υγειονομικούς ελέγχους, </w:t>
      </w:r>
      <w:proofErr w:type="spellStart"/>
      <w:r w:rsidRPr="009B77A8">
        <w:rPr>
          <w:rFonts w:ascii="Times New Roman" w:eastAsia="Times New Roman" w:hAnsi="Times New Roman"/>
          <w:color w:val="000000"/>
          <w:kern w:val="0"/>
          <w:sz w:val="28"/>
          <w:szCs w:val="28"/>
          <w:lang w:eastAsia="el-GR"/>
        </w:rPr>
        <w:t>αδειοδοτήσεις</w:t>
      </w:r>
      <w:proofErr w:type="spellEnd"/>
      <w:r w:rsidRPr="009B77A8">
        <w:rPr>
          <w:rFonts w:ascii="Times New Roman" w:eastAsia="Times New Roman" w:hAnsi="Times New Roman"/>
          <w:color w:val="000000"/>
          <w:kern w:val="0"/>
          <w:sz w:val="28"/>
          <w:szCs w:val="28"/>
          <w:lang w:eastAsia="el-GR"/>
        </w:rPr>
        <w:t>, εξαγωγικές δραστηριότητες και πλήθος άλλων πηγών που συνδέονται άμεσα με το έργο των γεωτεχνικών υπηρεσιών.</w:t>
      </w:r>
    </w:p>
    <w:p w14:paraId="5564A9EA"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lastRenderedPageBreak/>
        <w:t>Ωστόσο, ενώ σύμφωνα με τις αρχές της ανταποδοτικότητας και τις προβλέψεις του ευρωπαϊκού κανονιστικού πλαισίου για τους επίσημους ελέγχους, τα τέλη που εισπράττονται θα έπρεπε να επιστρέφουν στις υπηρεσίες που παράγουν το έργο και διενεργούν τους ελέγχους, η πραγματικότητα είναι εντελώς διαφορετική.</w:t>
      </w:r>
    </w:p>
    <w:p w14:paraId="11D74F8D"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Οι γεωτεχνικές υπηρεσίες του ΥΠΑΑΤ εξακολουθούν να λειτουργούν με σοβαρές ελλείψεις προσωπικού, ανεπαρκή χρηματοδότηση, πεπαλαιωμένο εξοπλισμό και περιορισμένες επιχειρησιακές δυνατότητες. Οι γεωτεχνικοί υπάλληλοι καλούνται καθημερινά να ανταποκριθούν σε κρίσιμες αρμοδιότητες που αφορούν την προστασία της δημόσιας υγείας, την ασφάλεια των τροφίμων, την υγεία των ζώων, την προστασία του φυτικού κεφαλαίου, την αλιεία και τις εξαγωγές της χώρας, χωρίς οι εισπραττόμενοι πόροι να αποδίδονται ουσιαστικά στην ενίσχυση των υπηρεσιών τους.</w:t>
      </w:r>
    </w:p>
    <w:p w14:paraId="0C138A06"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Την ίδια στιγμή, η απάντηση του Υπουργείου επιβεβαιώνει την ανάγκη ενίσχυσης των γεωτεχνικών υπηρεσιών με μόνιμο προσωπικό, δικαιώνοντας ακόμη μία πάγια θέση της ΠΟΓΕΔΥ. Η χρόνια υποστελέχωση των υπηρεσιών δεν αποτελεί πλέον απλή συνδικαλιστική διαπίστωση αλλά επίσημη παραδοχή της ίδιας της διοίκησης.</w:t>
      </w:r>
    </w:p>
    <w:p w14:paraId="64A2CBB0"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Η ΠΟΓΕΔΥ θεωρεί ότι τα στοιχεία που περιλαμβάνονται στην απάντηση δημιουργούν μείζον ζήτημα διοικητικής και πολιτικής ευθύνης. Όταν αναγνωρίζονται επίσημα σοβαρές εκκρεμότητες στους ισολογισμούς, όταν απαιτούνται ειδικά ελεγκτικά κλιμάκια και ορκωτοί ελεγκτές για την αποκατάσταση της οικονομικής εικόνας του φορέα και όταν η ίδια η κυβέρνηση εξετάζει αλλαγές στο θεσμικό πλαίσιο λειτουργίας του ΤΓΚ εξαιτίας των διαπιστωμένων προβλημάτων, δεν μπορεί να υποστηριχθεί ότι η εποπτεία ασκήθηκε αποτελεσματικά.</w:t>
      </w:r>
    </w:p>
    <w:p w14:paraId="546D1207"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Για τον λόγο αυτό, η ΠΟΓΕΔΥ ζητά την παραίτηση του Γενικού Γραμματέα του ΥΠΑΑΤ, ο οποίος ως Πρόεδρος του Διοικητικού Συμβουλίου του ΤΓΚ και αρμόδιος για την εποπτεία του φορέα φέρει την κορυφαία διοικητική ευθύνη για τη λειτουργία του.</w:t>
      </w:r>
    </w:p>
    <w:p w14:paraId="77597061"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Η απαίτηση αυτή αποτελεί ζήτημα θεσμικής λογοδοσίας και όχι προσωπικής αντιπαράθεσης. Η ανάληψη ευθύνης είναι αναγκαία προϋπόθεση για την αποκατάσταση της αξιοπιστίας του Ταμείου, την εμπέδωση της διαφάνειας και την αποκατάσταση της εμπιστοσύνης των εργαζομένων, των παραγωγών και της κοινωνίας.</w:t>
      </w:r>
    </w:p>
    <w:p w14:paraId="3D393146"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Η ΠΟΓΕΔΥ καλεί την πολιτική ηγεσία του ΥΠΑΑΤ να προχωρήσει άμεσα:</w:t>
      </w:r>
    </w:p>
    <w:p w14:paraId="562423F8"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 Στην πλήρη δημοσιοποίηση των πορισμάτων και των ελεγκτικών ευρημάτων που αφορούν το ΤΓΚ.</w:t>
      </w:r>
    </w:p>
    <w:p w14:paraId="4384BD41"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 Στην ολοκλήρωση όλων των εκκρεμών οικονομικών ελέγχων και ισολογισμών.</w:t>
      </w:r>
    </w:p>
    <w:p w14:paraId="565D507C"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lastRenderedPageBreak/>
        <w:t>• Στην ουσιαστική εφαρμογή της αρχής της ανταποδοτικότητας των τελών που εισπράττονται από τους επίσημους ελέγχους και τις λοιπές δραστηριότητες των γεωτεχνικών υπηρεσιών.</w:t>
      </w:r>
    </w:p>
    <w:p w14:paraId="54E59823"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 Στην απόδοση των σχετικών πόρων στις υπηρεσίες που τους παράγουν.</w:t>
      </w:r>
    </w:p>
    <w:p w14:paraId="070A508F"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 Στην άμεση στελέχωση των γεωτεχνικών υπηρεσιών με μόνιμο προσωπικό όλων των αναγκαίων ειδικοτήτων.</w:t>
      </w:r>
    </w:p>
    <w:p w14:paraId="31C12942" w14:textId="77777777" w:rsidR="009B77A8" w:rsidRPr="009B77A8" w:rsidRDefault="009B77A8" w:rsidP="009B77A8">
      <w:pPr>
        <w:shd w:val="clear" w:color="auto" w:fill="FFFFFF"/>
        <w:spacing w:after="60" w:line="240" w:lineRule="auto"/>
        <w:jc w:val="both"/>
        <w:rPr>
          <w:rFonts w:ascii="Times New Roman" w:eastAsia="Times New Roman" w:hAnsi="Times New Roman"/>
          <w:color w:val="222222"/>
          <w:kern w:val="0"/>
          <w:sz w:val="28"/>
          <w:szCs w:val="28"/>
          <w:lang w:eastAsia="el-GR"/>
        </w:rPr>
      </w:pPr>
      <w:r w:rsidRPr="009B77A8">
        <w:rPr>
          <w:rFonts w:ascii="Times New Roman" w:eastAsia="Times New Roman" w:hAnsi="Times New Roman"/>
          <w:color w:val="000000"/>
          <w:kern w:val="0"/>
          <w:sz w:val="28"/>
          <w:szCs w:val="28"/>
          <w:lang w:eastAsia="el-GR"/>
        </w:rPr>
        <w:t>Οι πρόσφατες αποκαλύψεις επιβεβαιώνουν ότι οι θέσεις και οι προειδοποιήσεις της ΠΟΓΕΔΥ ήταν απολύτως τεκμηριωμένες. Η κυβέρνηση και η διοίκηση του Υπουργείου οφείλουν πλέον να αναλάβουν τις ευθύνες τους.</w:t>
      </w:r>
    </w:p>
    <w:p w14:paraId="5A58A25D" w14:textId="77777777" w:rsidR="000F1B4D" w:rsidRDefault="000F1B4D" w:rsidP="00570380">
      <w:pPr>
        <w:pStyle w:val="isselectedend"/>
        <w:spacing w:before="0" w:beforeAutospacing="0" w:after="0" w:afterAutospacing="0" w:line="276" w:lineRule="auto"/>
        <w:ind w:right="-99"/>
        <w:jc w:val="both"/>
        <w:rPr>
          <w:b/>
          <w:bCs/>
        </w:rPr>
      </w:pPr>
    </w:p>
    <w:p w14:paraId="1559BE60"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2EE934A1"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4394D077"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3F0E461D" wp14:editId="21A49B0E">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9138B"/>
    <w:multiLevelType w:val="hybridMultilevel"/>
    <w:tmpl w:val="CFE07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789471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133328">
    <w:abstractNumId w:val="8"/>
  </w:num>
  <w:num w:numId="3" w16cid:durableId="1103762985">
    <w:abstractNumId w:val="4"/>
  </w:num>
  <w:num w:numId="4" w16cid:durableId="345206445">
    <w:abstractNumId w:val="1"/>
  </w:num>
  <w:num w:numId="5" w16cid:durableId="163932334">
    <w:abstractNumId w:val="2"/>
  </w:num>
  <w:num w:numId="6" w16cid:durableId="2024428585">
    <w:abstractNumId w:val="3"/>
  </w:num>
  <w:num w:numId="7" w16cid:durableId="718431306">
    <w:abstractNumId w:val="7"/>
  </w:num>
  <w:num w:numId="8" w16cid:durableId="1749958494">
    <w:abstractNumId w:val="0"/>
  </w:num>
  <w:num w:numId="9" w16cid:durableId="1132211608">
    <w:abstractNumId w:val="5"/>
  </w:num>
  <w:num w:numId="10" w16cid:durableId="1834370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3A5F"/>
    <w:rsid w:val="000326A1"/>
    <w:rsid w:val="00042F3B"/>
    <w:rsid w:val="00076B7E"/>
    <w:rsid w:val="0008397C"/>
    <w:rsid w:val="0008481F"/>
    <w:rsid w:val="00095D2E"/>
    <w:rsid w:val="000A46BB"/>
    <w:rsid w:val="000B1E2B"/>
    <w:rsid w:val="000C23F3"/>
    <w:rsid w:val="000D54B5"/>
    <w:rsid w:val="000F1B4D"/>
    <w:rsid w:val="000F3DD2"/>
    <w:rsid w:val="00117AA4"/>
    <w:rsid w:val="0017602D"/>
    <w:rsid w:val="001906EE"/>
    <w:rsid w:val="001A6AA7"/>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45D55"/>
    <w:rsid w:val="00347DA6"/>
    <w:rsid w:val="00381171"/>
    <w:rsid w:val="00386172"/>
    <w:rsid w:val="003E1E84"/>
    <w:rsid w:val="003E4A11"/>
    <w:rsid w:val="003E6FDF"/>
    <w:rsid w:val="003F12B4"/>
    <w:rsid w:val="00401D7D"/>
    <w:rsid w:val="004308BC"/>
    <w:rsid w:val="00435B84"/>
    <w:rsid w:val="00474DAC"/>
    <w:rsid w:val="00476374"/>
    <w:rsid w:val="00477E7F"/>
    <w:rsid w:val="00482185"/>
    <w:rsid w:val="004A0873"/>
    <w:rsid w:val="00500175"/>
    <w:rsid w:val="0050352B"/>
    <w:rsid w:val="00546306"/>
    <w:rsid w:val="00555FB5"/>
    <w:rsid w:val="00570380"/>
    <w:rsid w:val="00571246"/>
    <w:rsid w:val="0057226F"/>
    <w:rsid w:val="00581B7F"/>
    <w:rsid w:val="00582BC0"/>
    <w:rsid w:val="00584ACF"/>
    <w:rsid w:val="005D16DE"/>
    <w:rsid w:val="005D269B"/>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60E4"/>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B77A8"/>
    <w:rsid w:val="009C3C3D"/>
    <w:rsid w:val="009D0252"/>
    <w:rsid w:val="009D0A5A"/>
    <w:rsid w:val="009D1417"/>
    <w:rsid w:val="009E076A"/>
    <w:rsid w:val="009E2D88"/>
    <w:rsid w:val="00A10C0D"/>
    <w:rsid w:val="00A56C1A"/>
    <w:rsid w:val="00A577DC"/>
    <w:rsid w:val="00A7314C"/>
    <w:rsid w:val="00AC337A"/>
    <w:rsid w:val="00AC6A84"/>
    <w:rsid w:val="00AE168E"/>
    <w:rsid w:val="00AE620A"/>
    <w:rsid w:val="00AF6E3C"/>
    <w:rsid w:val="00B00F7C"/>
    <w:rsid w:val="00B0514A"/>
    <w:rsid w:val="00B42166"/>
    <w:rsid w:val="00B45086"/>
    <w:rsid w:val="00B50E20"/>
    <w:rsid w:val="00B92255"/>
    <w:rsid w:val="00BA445D"/>
    <w:rsid w:val="00BD3DB7"/>
    <w:rsid w:val="00BD6026"/>
    <w:rsid w:val="00BD6B05"/>
    <w:rsid w:val="00CB1CF6"/>
    <w:rsid w:val="00D02018"/>
    <w:rsid w:val="00D11DFF"/>
    <w:rsid w:val="00D15FE3"/>
    <w:rsid w:val="00D17673"/>
    <w:rsid w:val="00D37511"/>
    <w:rsid w:val="00D86283"/>
    <w:rsid w:val="00DB2625"/>
    <w:rsid w:val="00E24111"/>
    <w:rsid w:val="00E350C1"/>
    <w:rsid w:val="00E35771"/>
    <w:rsid w:val="00E54A04"/>
    <w:rsid w:val="00E64022"/>
    <w:rsid w:val="00E756A9"/>
    <w:rsid w:val="00E81F7F"/>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21E0"/>
  <w15:docId w15:val="{F6EE56DE-F7E6-4ABF-AFCA-5BD1D3E9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463232371">
      <w:bodyDiv w:val="1"/>
      <w:marLeft w:val="0"/>
      <w:marRight w:val="0"/>
      <w:marTop w:val="0"/>
      <w:marBottom w:val="0"/>
      <w:divBdr>
        <w:top w:val="none" w:sz="0" w:space="0" w:color="auto"/>
        <w:left w:val="none" w:sz="0" w:space="0" w:color="auto"/>
        <w:bottom w:val="none" w:sz="0" w:space="0" w:color="auto"/>
        <w:right w:val="none" w:sz="0" w:space="0" w:color="auto"/>
      </w:divBdr>
      <w:divsChild>
        <w:div w:id="1594364552">
          <w:marLeft w:val="0"/>
          <w:marRight w:val="0"/>
          <w:marTop w:val="240"/>
          <w:marBottom w:val="240"/>
          <w:divBdr>
            <w:top w:val="none" w:sz="0" w:space="0" w:color="auto"/>
            <w:left w:val="none" w:sz="0" w:space="0" w:color="auto"/>
            <w:bottom w:val="none" w:sz="0" w:space="0" w:color="auto"/>
            <w:right w:val="none" w:sz="0" w:space="0" w:color="auto"/>
          </w:divBdr>
        </w:div>
        <w:div w:id="180748634">
          <w:marLeft w:val="0"/>
          <w:marRight w:val="0"/>
          <w:marTop w:val="240"/>
          <w:marBottom w:val="240"/>
          <w:divBdr>
            <w:top w:val="none" w:sz="0" w:space="0" w:color="auto"/>
            <w:left w:val="none" w:sz="0" w:space="0" w:color="auto"/>
            <w:bottom w:val="none" w:sz="0" w:space="0" w:color="auto"/>
            <w:right w:val="none" w:sz="0" w:space="0" w:color="auto"/>
          </w:divBdr>
        </w:div>
        <w:div w:id="1583179255">
          <w:marLeft w:val="0"/>
          <w:marRight w:val="0"/>
          <w:marTop w:val="240"/>
          <w:marBottom w:val="240"/>
          <w:divBdr>
            <w:top w:val="none" w:sz="0" w:space="0" w:color="auto"/>
            <w:left w:val="none" w:sz="0" w:space="0" w:color="auto"/>
            <w:bottom w:val="none" w:sz="0" w:space="0" w:color="auto"/>
            <w:right w:val="none" w:sz="0" w:space="0" w:color="auto"/>
          </w:divBdr>
        </w:div>
        <w:div w:id="1371108206">
          <w:marLeft w:val="0"/>
          <w:marRight w:val="0"/>
          <w:marTop w:val="240"/>
          <w:marBottom w:val="240"/>
          <w:divBdr>
            <w:top w:val="none" w:sz="0" w:space="0" w:color="auto"/>
            <w:left w:val="none" w:sz="0" w:space="0" w:color="auto"/>
            <w:bottom w:val="none" w:sz="0" w:space="0" w:color="auto"/>
            <w:right w:val="none" w:sz="0" w:space="0" w:color="auto"/>
          </w:divBdr>
        </w:div>
        <w:div w:id="1600330259">
          <w:marLeft w:val="0"/>
          <w:marRight w:val="0"/>
          <w:marTop w:val="240"/>
          <w:marBottom w:val="240"/>
          <w:divBdr>
            <w:top w:val="none" w:sz="0" w:space="0" w:color="auto"/>
            <w:left w:val="none" w:sz="0" w:space="0" w:color="auto"/>
            <w:bottom w:val="none" w:sz="0" w:space="0" w:color="auto"/>
            <w:right w:val="none" w:sz="0" w:space="0" w:color="auto"/>
          </w:divBdr>
        </w:div>
        <w:div w:id="1453396895">
          <w:marLeft w:val="0"/>
          <w:marRight w:val="0"/>
          <w:marTop w:val="240"/>
          <w:marBottom w:val="240"/>
          <w:divBdr>
            <w:top w:val="none" w:sz="0" w:space="0" w:color="auto"/>
            <w:left w:val="none" w:sz="0" w:space="0" w:color="auto"/>
            <w:bottom w:val="none" w:sz="0" w:space="0" w:color="auto"/>
            <w:right w:val="none" w:sz="0" w:space="0" w:color="auto"/>
          </w:divBdr>
        </w:div>
        <w:div w:id="1371490070">
          <w:marLeft w:val="0"/>
          <w:marRight w:val="0"/>
          <w:marTop w:val="240"/>
          <w:marBottom w:val="240"/>
          <w:divBdr>
            <w:top w:val="none" w:sz="0" w:space="0" w:color="auto"/>
            <w:left w:val="none" w:sz="0" w:space="0" w:color="auto"/>
            <w:bottom w:val="none" w:sz="0" w:space="0" w:color="auto"/>
            <w:right w:val="none" w:sz="0" w:space="0" w:color="auto"/>
          </w:divBdr>
        </w:div>
        <w:div w:id="887912544">
          <w:marLeft w:val="0"/>
          <w:marRight w:val="0"/>
          <w:marTop w:val="240"/>
          <w:marBottom w:val="240"/>
          <w:divBdr>
            <w:top w:val="none" w:sz="0" w:space="0" w:color="auto"/>
            <w:left w:val="none" w:sz="0" w:space="0" w:color="auto"/>
            <w:bottom w:val="none" w:sz="0" w:space="0" w:color="auto"/>
            <w:right w:val="none" w:sz="0" w:space="0" w:color="auto"/>
          </w:divBdr>
        </w:div>
        <w:div w:id="488864038">
          <w:marLeft w:val="0"/>
          <w:marRight w:val="0"/>
          <w:marTop w:val="240"/>
          <w:marBottom w:val="240"/>
          <w:divBdr>
            <w:top w:val="none" w:sz="0" w:space="0" w:color="auto"/>
            <w:left w:val="none" w:sz="0" w:space="0" w:color="auto"/>
            <w:bottom w:val="none" w:sz="0" w:space="0" w:color="auto"/>
            <w:right w:val="none" w:sz="0" w:space="0" w:color="auto"/>
          </w:divBdr>
        </w:div>
        <w:div w:id="1133211678">
          <w:marLeft w:val="0"/>
          <w:marRight w:val="0"/>
          <w:marTop w:val="240"/>
          <w:marBottom w:val="240"/>
          <w:divBdr>
            <w:top w:val="none" w:sz="0" w:space="0" w:color="auto"/>
            <w:left w:val="none" w:sz="0" w:space="0" w:color="auto"/>
            <w:bottom w:val="none" w:sz="0" w:space="0" w:color="auto"/>
            <w:right w:val="none" w:sz="0" w:space="0" w:color="auto"/>
          </w:divBdr>
        </w:div>
        <w:div w:id="1393890347">
          <w:marLeft w:val="0"/>
          <w:marRight w:val="0"/>
          <w:marTop w:val="240"/>
          <w:marBottom w:val="240"/>
          <w:divBdr>
            <w:top w:val="none" w:sz="0" w:space="0" w:color="auto"/>
            <w:left w:val="none" w:sz="0" w:space="0" w:color="auto"/>
            <w:bottom w:val="none" w:sz="0" w:space="0" w:color="auto"/>
            <w:right w:val="none" w:sz="0" w:space="0" w:color="auto"/>
          </w:divBdr>
        </w:div>
        <w:div w:id="1263222127">
          <w:marLeft w:val="0"/>
          <w:marRight w:val="0"/>
          <w:marTop w:val="240"/>
          <w:marBottom w:val="240"/>
          <w:divBdr>
            <w:top w:val="none" w:sz="0" w:space="0" w:color="auto"/>
            <w:left w:val="none" w:sz="0" w:space="0" w:color="auto"/>
            <w:bottom w:val="none" w:sz="0" w:space="0" w:color="auto"/>
            <w:right w:val="none" w:sz="0" w:space="0" w:color="auto"/>
          </w:divBdr>
        </w:div>
        <w:div w:id="1535774749">
          <w:marLeft w:val="0"/>
          <w:marRight w:val="0"/>
          <w:marTop w:val="240"/>
          <w:marBottom w:val="240"/>
          <w:divBdr>
            <w:top w:val="none" w:sz="0" w:space="0" w:color="auto"/>
            <w:left w:val="none" w:sz="0" w:space="0" w:color="auto"/>
            <w:bottom w:val="none" w:sz="0" w:space="0" w:color="auto"/>
            <w:right w:val="none" w:sz="0" w:space="0" w:color="auto"/>
          </w:divBdr>
        </w:div>
        <w:div w:id="1058284606">
          <w:marLeft w:val="0"/>
          <w:marRight w:val="0"/>
          <w:marTop w:val="240"/>
          <w:marBottom w:val="240"/>
          <w:divBdr>
            <w:top w:val="none" w:sz="0" w:space="0" w:color="auto"/>
            <w:left w:val="none" w:sz="0" w:space="0" w:color="auto"/>
            <w:bottom w:val="none" w:sz="0" w:space="0" w:color="auto"/>
            <w:right w:val="none" w:sz="0" w:space="0" w:color="auto"/>
          </w:divBdr>
        </w:div>
        <w:div w:id="1579631007">
          <w:marLeft w:val="0"/>
          <w:marRight w:val="0"/>
          <w:marTop w:val="240"/>
          <w:marBottom w:val="240"/>
          <w:divBdr>
            <w:top w:val="none" w:sz="0" w:space="0" w:color="auto"/>
            <w:left w:val="none" w:sz="0" w:space="0" w:color="auto"/>
            <w:bottom w:val="none" w:sz="0" w:space="0" w:color="auto"/>
            <w:right w:val="none" w:sz="0" w:space="0" w:color="auto"/>
          </w:divBdr>
        </w:div>
        <w:div w:id="2125035263">
          <w:marLeft w:val="0"/>
          <w:marRight w:val="0"/>
          <w:marTop w:val="240"/>
          <w:marBottom w:val="240"/>
          <w:divBdr>
            <w:top w:val="none" w:sz="0" w:space="0" w:color="auto"/>
            <w:left w:val="none" w:sz="0" w:space="0" w:color="auto"/>
            <w:bottom w:val="none" w:sz="0" w:space="0" w:color="auto"/>
            <w:right w:val="none" w:sz="0" w:space="0" w:color="auto"/>
          </w:divBdr>
        </w:div>
        <w:div w:id="909386281">
          <w:marLeft w:val="0"/>
          <w:marRight w:val="0"/>
          <w:marTop w:val="240"/>
          <w:marBottom w:val="240"/>
          <w:divBdr>
            <w:top w:val="none" w:sz="0" w:space="0" w:color="auto"/>
            <w:left w:val="none" w:sz="0" w:space="0" w:color="auto"/>
            <w:bottom w:val="none" w:sz="0" w:space="0" w:color="auto"/>
            <w:right w:val="none" w:sz="0" w:space="0" w:color="auto"/>
          </w:divBdr>
        </w:div>
      </w:divsChild>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4272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5053</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dcterms:created xsi:type="dcterms:W3CDTF">2026-06-12T04:08:00Z</dcterms:created>
  <dcterms:modified xsi:type="dcterms:W3CDTF">2026-06-12T04:08:00Z</dcterms:modified>
</cp:coreProperties>
</file>