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A6B32" w:rsidRPr="002946EA" w14:paraId="5BD2407F" w14:textId="77777777" w:rsidTr="000F1B4D">
        <w:tc>
          <w:tcPr>
            <w:tcW w:w="9385" w:type="dxa"/>
          </w:tcPr>
          <w:p w14:paraId="16FC0AB4" w14:textId="77777777" w:rsidR="00FA6B32" w:rsidRPr="000F1B4D" w:rsidRDefault="00FA6B32" w:rsidP="000B1E2B">
            <w:pPr>
              <w:spacing w:after="0" w:line="300" w:lineRule="auto"/>
              <w:ind w:right="771"/>
              <w:jc w:val="center"/>
              <w:rPr>
                <w:rFonts w:ascii="Times New Roman" w:hAnsi="Times New Roman"/>
                <w:b/>
              </w:rPr>
            </w:pPr>
            <w:r w:rsidRPr="000F1B4D">
              <w:rPr>
                <w:rFonts w:ascii="Times New Roman" w:hAnsi="Times New Roman"/>
                <w:b/>
              </w:rPr>
              <w:t>ΠΑΝΕΛΛΗΝΙΑ</w:t>
            </w:r>
            <w:r w:rsidRPr="000F1B4D">
              <w:rPr>
                <w:rFonts w:ascii="Times New Roman" w:hAnsi="Times New Roman"/>
                <w:b/>
                <w:spacing w:val="-5"/>
              </w:rPr>
              <w:t xml:space="preserve"> </w:t>
            </w:r>
            <w:r w:rsidRPr="000F1B4D">
              <w:rPr>
                <w:rFonts w:ascii="Times New Roman" w:hAnsi="Times New Roman"/>
                <w:b/>
              </w:rPr>
              <w:t>ΟΜΟΣΠΟΝΔΙΑ</w:t>
            </w:r>
            <w:r w:rsidRPr="000F1B4D">
              <w:rPr>
                <w:rFonts w:ascii="Times New Roman" w:hAnsi="Times New Roman"/>
                <w:b/>
                <w:spacing w:val="-5"/>
              </w:rPr>
              <w:t xml:space="preserve"> </w:t>
            </w:r>
            <w:r w:rsidRPr="000F1B4D">
              <w:rPr>
                <w:rFonts w:ascii="Times New Roman" w:hAnsi="Times New Roman"/>
                <w:b/>
              </w:rPr>
              <w:t>ΓΕΩΤΕΧΝΙΚΩΝ</w:t>
            </w:r>
            <w:r w:rsidRPr="000F1B4D">
              <w:rPr>
                <w:rFonts w:ascii="Times New Roman" w:hAnsi="Times New Roman"/>
                <w:b/>
                <w:spacing w:val="-5"/>
              </w:rPr>
              <w:t xml:space="preserve"> </w:t>
            </w:r>
            <w:r w:rsidRPr="000F1B4D">
              <w:rPr>
                <w:rFonts w:ascii="Times New Roman" w:hAnsi="Times New Roman"/>
                <w:b/>
              </w:rPr>
              <w:t>ΔΗΜΟΣΙΩΝ</w:t>
            </w:r>
            <w:r w:rsidRPr="000F1B4D">
              <w:rPr>
                <w:rFonts w:ascii="Times New Roman" w:hAnsi="Times New Roman"/>
                <w:b/>
                <w:spacing w:val="-4"/>
              </w:rPr>
              <w:t xml:space="preserve"> </w:t>
            </w:r>
            <w:r w:rsidRPr="000F1B4D">
              <w:rPr>
                <w:rFonts w:ascii="Times New Roman" w:hAnsi="Times New Roman"/>
                <w:b/>
              </w:rPr>
              <w:t>ΥΠΑΛΛΗΛΩΝ</w:t>
            </w:r>
            <w:r w:rsidRPr="000F1B4D">
              <w:rPr>
                <w:rFonts w:ascii="Times New Roman" w:hAnsi="Times New Roman"/>
                <w:b/>
                <w:spacing w:val="-57"/>
              </w:rPr>
              <w:t xml:space="preserve"> </w:t>
            </w:r>
            <w:r w:rsidRPr="000F1B4D">
              <w:rPr>
                <w:rFonts w:ascii="Times New Roman" w:hAnsi="Times New Roman"/>
                <w:b/>
              </w:rPr>
              <w:t>(ΠΟΓΕΔΥ)</w:t>
            </w:r>
          </w:p>
          <w:p w14:paraId="5E3358AE" w14:textId="77777777" w:rsidR="00FA6B32" w:rsidRPr="000F1B4D" w:rsidRDefault="00FA6B32" w:rsidP="000B1E2B">
            <w:pPr>
              <w:spacing w:after="0" w:line="295" w:lineRule="auto"/>
              <w:ind w:left="864" w:right="899" w:firstLine="35"/>
              <w:jc w:val="center"/>
              <w:rPr>
                <w:rFonts w:ascii="Times New Roman" w:hAnsi="Times New Roman"/>
                <w:spacing w:val="1"/>
              </w:rPr>
            </w:pPr>
            <w:r w:rsidRPr="000F1B4D">
              <w:rPr>
                <w:rFonts w:ascii="Times New Roman" w:hAnsi="Times New Roman"/>
              </w:rPr>
              <w:t>ΓΕΩΠΟΝΟΙ – ΔΑΣΟΛΟΓΟΙ – ΚΤΗΝΙΑΤΡΟΙ – ΙΧΘΥΟΛΟΓΟΙ - ΓΕΩΛΟΓΟΙ</w:t>
            </w:r>
          </w:p>
          <w:p w14:paraId="72DDFB60" w14:textId="77777777" w:rsidR="00FA6B32" w:rsidRPr="000F1B4D" w:rsidRDefault="00FA6B32" w:rsidP="000B1E2B">
            <w:pPr>
              <w:spacing w:after="0" w:line="295" w:lineRule="auto"/>
              <w:ind w:right="899"/>
              <w:jc w:val="center"/>
              <w:rPr>
                <w:rFonts w:ascii="Times New Roman" w:hAnsi="Times New Roman"/>
              </w:rPr>
            </w:pPr>
            <w:r w:rsidRPr="000F1B4D">
              <w:rPr>
                <w:rFonts w:ascii="Times New Roman" w:hAnsi="Times New Roman"/>
              </w:rPr>
              <w:t>Αχαρνών</w:t>
            </w:r>
            <w:r w:rsidRPr="000F1B4D">
              <w:rPr>
                <w:rFonts w:ascii="Times New Roman" w:hAnsi="Times New Roman"/>
                <w:spacing w:val="-3"/>
              </w:rPr>
              <w:t xml:space="preserve"> </w:t>
            </w:r>
            <w:r w:rsidRPr="000F1B4D">
              <w:rPr>
                <w:rFonts w:ascii="Times New Roman" w:hAnsi="Times New Roman"/>
              </w:rPr>
              <w:t>2</w:t>
            </w:r>
            <w:r w:rsidRPr="000F1B4D">
              <w:rPr>
                <w:rFonts w:ascii="Times New Roman" w:hAnsi="Times New Roman"/>
                <w:spacing w:val="-1"/>
              </w:rPr>
              <w:t xml:space="preserve">  </w:t>
            </w:r>
            <w:r w:rsidRPr="000F1B4D">
              <w:rPr>
                <w:rFonts w:ascii="Times New Roman" w:hAnsi="Times New Roman"/>
              </w:rPr>
              <w:t>Αθήνα</w:t>
            </w:r>
            <w:r w:rsidRPr="000F1B4D">
              <w:rPr>
                <w:rFonts w:ascii="Times New Roman" w:hAnsi="Times New Roman"/>
                <w:spacing w:val="-3"/>
              </w:rPr>
              <w:t xml:space="preserve"> </w:t>
            </w:r>
            <w:r w:rsidRPr="000F1B4D">
              <w:rPr>
                <w:rFonts w:ascii="Times New Roman" w:hAnsi="Times New Roman"/>
              </w:rPr>
              <w:t>Τ.Κ.</w:t>
            </w:r>
            <w:r w:rsidRPr="000F1B4D">
              <w:rPr>
                <w:rFonts w:ascii="Times New Roman" w:hAnsi="Times New Roman"/>
                <w:spacing w:val="-1"/>
              </w:rPr>
              <w:t xml:space="preserve"> </w:t>
            </w:r>
            <w:r w:rsidRPr="000F1B4D">
              <w:rPr>
                <w:rFonts w:ascii="Times New Roman" w:hAnsi="Times New Roman"/>
              </w:rPr>
              <w:t>10176</w:t>
            </w:r>
            <w:r w:rsidRPr="000F1B4D">
              <w:rPr>
                <w:rFonts w:ascii="Times New Roman" w:hAnsi="Times New Roman"/>
                <w:spacing w:val="-1"/>
              </w:rPr>
              <w:t xml:space="preserve"> </w:t>
            </w:r>
            <w:r w:rsidRPr="000F1B4D">
              <w:rPr>
                <w:rFonts w:ascii="Times New Roman" w:hAnsi="Times New Roman"/>
              </w:rPr>
              <w:t>Τηλ.:210-5234189,</w:t>
            </w:r>
            <w:r w:rsidRPr="000F1B4D">
              <w:rPr>
                <w:rFonts w:ascii="Times New Roman" w:hAnsi="Times New Roman"/>
                <w:spacing w:val="-2"/>
              </w:rPr>
              <w:t xml:space="preserve"> </w:t>
            </w:r>
            <w:r w:rsidRPr="000F1B4D">
              <w:rPr>
                <w:rFonts w:ascii="Times New Roman" w:hAnsi="Times New Roman"/>
              </w:rPr>
              <w:t>210-2124041</w:t>
            </w:r>
          </w:p>
          <w:p w14:paraId="49018EDB" w14:textId="77777777" w:rsidR="00FA6B32" w:rsidRPr="00B00F7C" w:rsidRDefault="00FA6B32" w:rsidP="000B1E2B">
            <w:pPr>
              <w:spacing w:after="0" w:line="240" w:lineRule="auto"/>
              <w:ind w:left="734" w:right="771"/>
              <w:jc w:val="center"/>
              <w:rPr>
                <w:rFonts w:ascii="Times New Roman" w:hAnsi="Times New Roman"/>
                <w:b/>
                <w:lang w:val="en-US"/>
              </w:rPr>
            </w:pPr>
            <w:hyperlink r:id="rId5" w:history="1">
              <w:r w:rsidRPr="000F1B4D">
                <w:rPr>
                  <w:rStyle w:val="-"/>
                  <w:rFonts w:ascii="Times New Roman" w:hAnsi="Times New Roman"/>
                  <w:b/>
                  <w:lang w:val="en-US"/>
                </w:rPr>
                <w:t>e-mail : ax2u128@minagric.gr</w:t>
              </w:r>
            </w:hyperlink>
          </w:p>
        </w:tc>
      </w:tr>
    </w:tbl>
    <w:p w14:paraId="2C013948" w14:textId="77777777" w:rsidR="00FA6B32" w:rsidRPr="000A46BB" w:rsidRDefault="00FA6B32" w:rsidP="00B00F7C">
      <w:pPr>
        <w:spacing w:before="80"/>
        <w:ind w:left="5040"/>
        <w:jc w:val="both"/>
        <w:rPr>
          <w:rFonts w:ascii="Times New Roman" w:hAnsi="Times New Roman"/>
          <w:b/>
          <w:sz w:val="28"/>
          <w:szCs w:val="28"/>
        </w:rPr>
      </w:pPr>
      <w:r w:rsidRPr="000A46BB">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lang w:val="en-US"/>
        </w:rPr>
        <w:tab/>
      </w:r>
      <w:r w:rsidRPr="007D6712">
        <w:rPr>
          <w:rFonts w:ascii="Times New Roman" w:hAnsi="Times New Roman"/>
          <w:b/>
          <w:color w:val="221F1F"/>
          <w:w w:val="80"/>
          <w:sz w:val="28"/>
          <w:szCs w:val="28"/>
          <w:lang w:val="en-US"/>
        </w:rPr>
        <w:t xml:space="preserve"> </w:t>
      </w:r>
      <w:r w:rsidR="000F1B4D" w:rsidRPr="001F752F">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rPr>
        <w:t xml:space="preserve">Αθήνα </w:t>
      </w:r>
      <w:r w:rsidR="002946EA">
        <w:rPr>
          <w:rFonts w:ascii="Times New Roman" w:hAnsi="Times New Roman"/>
          <w:b/>
          <w:color w:val="221F1F"/>
          <w:w w:val="80"/>
          <w:sz w:val="28"/>
          <w:szCs w:val="28"/>
        </w:rPr>
        <w:t>8</w:t>
      </w:r>
      <w:r w:rsidR="00E756A9">
        <w:rPr>
          <w:rFonts w:ascii="Times New Roman" w:hAnsi="Times New Roman"/>
          <w:b/>
          <w:color w:val="221F1F"/>
          <w:w w:val="80"/>
          <w:sz w:val="28"/>
          <w:szCs w:val="28"/>
        </w:rPr>
        <w:t>-6-2026</w:t>
      </w:r>
    </w:p>
    <w:p w14:paraId="45FF3D46" w14:textId="77777777" w:rsidR="000F1B4D" w:rsidRDefault="00FA6B32" w:rsidP="000F1B4D">
      <w:pPr>
        <w:pStyle w:val="aa"/>
        <w:spacing w:line="278" w:lineRule="auto"/>
        <w:ind w:left="0" w:right="-241"/>
        <w:jc w:val="center"/>
        <w:rPr>
          <w:rFonts w:ascii="Times New Roman" w:hAnsi="Times New Roman" w:cs="Times New Roman"/>
          <w:b/>
          <w:w w:val="85"/>
          <w:sz w:val="28"/>
          <w:szCs w:val="28"/>
        </w:rPr>
      </w:pPr>
      <w:r w:rsidRPr="00F9775A">
        <w:rPr>
          <w:rFonts w:ascii="Times New Roman" w:hAnsi="Times New Roman" w:cs="Times New Roman"/>
          <w:b/>
          <w:w w:val="85"/>
          <w:sz w:val="28"/>
          <w:szCs w:val="28"/>
        </w:rPr>
        <w:t>ΔΕΛΤΙΟ ΤΥΠΟΥ</w:t>
      </w:r>
    </w:p>
    <w:p w14:paraId="6BDE7028" w14:textId="77777777" w:rsidR="00232C68" w:rsidRDefault="00232C68" w:rsidP="000F1B4D">
      <w:pPr>
        <w:pStyle w:val="aa"/>
        <w:spacing w:line="278" w:lineRule="auto"/>
        <w:ind w:left="0" w:right="-241"/>
        <w:jc w:val="center"/>
        <w:rPr>
          <w:rFonts w:ascii="Times New Roman" w:hAnsi="Times New Roman" w:cs="Times New Roman"/>
          <w:b/>
          <w:w w:val="85"/>
          <w:sz w:val="28"/>
          <w:szCs w:val="28"/>
        </w:rPr>
      </w:pPr>
    </w:p>
    <w:p w14:paraId="4F81A48B" w14:textId="77777777" w:rsidR="002946EA" w:rsidRPr="00450844" w:rsidRDefault="009A7C66" w:rsidP="002946EA">
      <w:pPr>
        <w:spacing w:after="0" w:line="300" w:lineRule="atLeast"/>
        <w:jc w:val="both"/>
        <w:rPr>
          <w:rFonts w:ascii="Times New Roman" w:eastAsia="Times New Roman" w:hAnsi="Times New Roman"/>
          <w:b/>
          <w:bCs/>
          <w:kern w:val="0"/>
          <w:sz w:val="28"/>
          <w:szCs w:val="28"/>
          <w:lang w:eastAsia="el-GR"/>
        </w:rPr>
      </w:pPr>
      <w:r w:rsidRPr="000F1B4D">
        <w:rPr>
          <w:rFonts w:ascii="Times New Roman" w:hAnsi="Times New Roman"/>
          <w:b/>
          <w:bCs/>
        </w:rPr>
        <w:t>ΘΕΜΑ:</w:t>
      </w:r>
      <w:r w:rsidR="001F752F" w:rsidRPr="001F752F">
        <w:rPr>
          <w:sz w:val="28"/>
          <w:szCs w:val="28"/>
        </w:rPr>
        <w:t xml:space="preserve"> </w:t>
      </w:r>
      <w:r w:rsidR="002946EA">
        <w:rPr>
          <w:sz w:val="28"/>
          <w:szCs w:val="28"/>
        </w:rPr>
        <w:t>«</w:t>
      </w:r>
      <w:r w:rsidR="002946EA" w:rsidRPr="00F31844">
        <w:rPr>
          <w:rFonts w:ascii="Times New Roman" w:eastAsia="Times New Roman" w:hAnsi="Times New Roman"/>
          <w:b/>
          <w:bCs/>
          <w:kern w:val="0"/>
          <w:sz w:val="28"/>
          <w:szCs w:val="28"/>
          <w:lang w:eastAsia="el-GR"/>
        </w:rPr>
        <w:t>Από τα «βιολογικά» στα οικολογικά σχήματα – Ένα ενιαίο σύστημα στρεβλώσεων, ευθυνών και διακινδύνευσης κοινοτικών πόρων</w:t>
      </w:r>
      <w:r w:rsidR="002946EA">
        <w:rPr>
          <w:rFonts w:ascii="Times New Roman" w:eastAsia="Times New Roman" w:hAnsi="Times New Roman"/>
          <w:b/>
          <w:bCs/>
          <w:kern w:val="0"/>
          <w:sz w:val="28"/>
          <w:szCs w:val="28"/>
          <w:lang w:eastAsia="el-GR"/>
        </w:rPr>
        <w:t>»</w:t>
      </w:r>
    </w:p>
    <w:p w14:paraId="3B9245A2" w14:textId="77777777" w:rsidR="000F1B4D" w:rsidRDefault="000F1B4D" w:rsidP="001F752F">
      <w:pPr>
        <w:pStyle w:val="aa"/>
        <w:spacing w:line="278" w:lineRule="auto"/>
        <w:ind w:left="0" w:right="-99"/>
        <w:rPr>
          <w:rFonts w:ascii="Times New Roman" w:hAnsi="Times New Roman" w:cs="Times New Roman"/>
          <w:sz w:val="24"/>
          <w:szCs w:val="24"/>
        </w:rPr>
      </w:pPr>
    </w:p>
    <w:p w14:paraId="75862939" w14:textId="77777777" w:rsidR="001F752F" w:rsidRPr="000F1B4D" w:rsidRDefault="001F752F" w:rsidP="000F1B4D">
      <w:pPr>
        <w:pStyle w:val="aa"/>
        <w:spacing w:line="278" w:lineRule="auto"/>
        <w:ind w:left="0" w:right="-99"/>
        <w:jc w:val="center"/>
        <w:rPr>
          <w:rFonts w:ascii="Times New Roman" w:hAnsi="Times New Roman" w:cs="Times New Roman"/>
          <w:b/>
          <w:w w:val="85"/>
          <w:sz w:val="24"/>
          <w:szCs w:val="24"/>
        </w:rPr>
      </w:pPr>
    </w:p>
    <w:p w14:paraId="36E85396" w14:textId="77777777" w:rsidR="002946EA" w:rsidRPr="000933B8" w:rsidRDefault="002946EA" w:rsidP="002946EA">
      <w:pPr>
        <w:spacing w:after="0" w:line="276" w:lineRule="auto"/>
        <w:jc w:val="both"/>
        <w:rPr>
          <w:rFonts w:ascii="Times New Roman" w:eastAsia="Times New Roman" w:hAnsi="Times New Roman"/>
          <w:kern w:val="0"/>
          <w:lang w:eastAsia="el-GR"/>
        </w:rPr>
      </w:pPr>
      <w:r>
        <w:rPr>
          <w:rFonts w:ascii="Times New Roman" w:eastAsia="Times New Roman" w:hAnsi="Times New Roman"/>
          <w:kern w:val="0"/>
          <w:lang w:eastAsia="el-GR"/>
        </w:rPr>
        <w:t xml:space="preserve">Η </w:t>
      </w:r>
      <w:r w:rsidRPr="000933B8">
        <w:rPr>
          <w:rFonts w:ascii="Times New Roman" w:eastAsia="Times New Roman" w:hAnsi="Times New Roman"/>
          <w:kern w:val="0"/>
          <w:lang w:eastAsia="el-GR"/>
        </w:rPr>
        <w:t xml:space="preserve">Πανελλήνια Ομοσπονδία Γεωτεχνικών Δημοσίων Υπαλλήλων (ΠΟΓΕΔΥ) </w:t>
      </w:r>
      <w:r>
        <w:rPr>
          <w:rFonts w:ascii="Times New Roman" w:eastAsia="Times New Roman" w:hAnsi="Times New Roman"/>
          <w:kern w:val="0"/>
          <w:lang w:eastAsia="el-GR"/>
        </w:rPr>
        <w:t xml:space="preserve">αναγκάζεται να </w:t>
      </w:r>
      <w:r w:rsidRPr="000933B8">
        <w:rPr>
          <w:rFonts w:ascii="Times New Roman" w:eastAsia="Times New Roman" w:hAnsi="Times New Roman"/>
          <w:kern w:val="0"/>
          <w:lang w:eastAsia="el-GR"/>
        </w:rPr>
        <w:t>παρ</w:t>
      </w:r>
      <w:r>
        <w:rPr>
          <w:rFonts w:ascii="Times New Roman" w:eastAsia="Times New Roman" w:hAnsi="Times New Roman"/>
          <w:kern w:val="0"/>
          <w:lang w:eastAsia="el-GR"/>
        </w:rPr>
        <w:t xml:space="preserve">έμβει </w:t>
      </w:r>
      <w:r w:rsidRPr="000933B8">
        <w:rPr>
          <w:rFonts w:ascii="Times New Roman" w:eastAsia="Times New Roman" w:hAnsi="Times New Roman"/>
          <w:kern w:val="0"/>
          <w:lang w:eastAsia="el-GR"/>
        </w:rPr>
        <w:t>εκ νέου δημόσια, με αίσθημα ευθύνης αλλά και με σαφή πρόθεση να αποτυπώσει την πραγματικότητα χωρίς ωραιοποιήσεις, μετά τις πρόσφατες αποκαλύψεις για τη διαχείριση των οικολογικών σχημάτων μέσω του ΟΠΕΚΕΠΕ από το 2023 και εντεύθεν, τα οποία βρίσκονται ήδη στο μικροσκόπιο της Ευρωπαϊκής Εισαγγελίας.</w:t>
      </w:r>
    </w:p>
    <w:p w14:paraId="09DB8048" w14:textId="77777777" w:rsidR="002946EA" w:rsidRPr="000933B8" w:rsidRDefault="002946EA" w:rsidP="002946EA">
      <w:pPr>
        <w:spacing w:after="0" w:line="276" w:lineRule="auto"/>
        <w:jc w:val="both"/>
        <w:rPr>
          <w:rFonts w:ascii="Times New Roman" w:eastAsia="Times New Roman" w:hAnsi="Times New Roman"/>
          <w:kern w:val="0"/>
          <w:lang w:eastAsia="el-GR"/>
        </w:rPr>
      </w:pPr>
      <w:r w:rsidRPr="000933B8">
        <w:rPr>
          <w:rFonts w:ascii="Times New Roman" w:eastAsia="Times New Roman" w:hAnsi="Times New Roman"/>
          <w:b/>
          <w:bCs/>
          <w:kern w:val="0"/>
          <w:lang w:eastAsia="el-GR"/>
        </w:rPr>
        <w:t>Η εξέλιξη αυτή δεν συνιστά κεραυνό εν αιθρία</w:t>
      </w:r>
      <w:r w:rsidRPr="000933B8">
        <w:rPr>
          <w:rFonts w:ascii="Times New Roman" w:eastAsia="Times New Roman" w:hAnsi="Times New Roman"/>
          <w:kern w:val="0"/>
          <w:lang w:eastAsia="el-GR"/>
        </w:rPr>
        <w:t>. Αντιθέτως, αποτελεί την αναμενόμενη κατάληξη ενός συστήματος που διαμορφώθηκε τα τελευταία χρόνια μέσα από διαδοχικές επιλογές οι οποίες αποδυνάμωσαν την ουσιαστική εποπτεία, απομάκρυναν τον επιστημονικό έλεγχο από τον πυρήνα της εφαρμογής και άφησαν τη διαχείριση κρίσιμων κοινοτικών πόρων εκτεθειμένη σε στρεβλώσεις</w:t>
      </w:r>
      <w:r w:rsidRPr="000933B8">
        <w:rPr>
          <w:rFonts w:ascii="Times New Roman" w:eastAsia="Times New Roman" w:hAnsi="Times New Roman"/>
          <w:b/>
          <w:bCs/>
          <w:kern w:val="0"/>
          <w:lang w:eastAsia="el-GR"/>
        </w:rPr>
        <w:t>. Η ΠΟΓΕΔΥ έχει εγκαίρως και επανειλημμένα προειδοποιήσει για αυτή την πορεία.</w:t>
      </w:r>
      <w:r w:rsidRPr="000933B8">
        <w:rPr>
          <w:rFonts w:ascii="Times New Roman" w:eastAsia="Times New Roman" w:hAnsi="Times New Roman"/>
          <w:kern w:val="0"/>
          <w:lang w:eastAsia="el-GR"/>
        </w:rPr>
        <w:t xml:space="preserve"> Από την υπόθεση των βιολογικών μέχρι το καθεστώς πιστοποίησης και τους ελέγχους, είχε καταδείξει ότι συγκροτείται ένα ενιαίο πλαίσιο προβληματικής λειτουργίας, στο οποίο η ευθύνη διαχέεται, οι έλεγχοι υποβαθμίζονται και η διαφάνεια μετατρέπεται σε ζητούμενο.</w:t>
      </w:r>
    </w:p>
    <w:p w14:paraId="44D4F504" w14:textId="77777777" w:rsidR="002946EA" w:rsidRPr="000933B8" w:rsidRDefault="002946EA" w:rsidP="002946EA">
      <w:pPr>
        <w:spacing w:after="0" w:line="276" w:lineRule="auto"/>
        <w:jc w:val="both"/>
        <w:rPr>
          <w:rFonts w:ascii="Times New Roman" w:eastAsia="Times New Roman" w:hAnsi="Times New Roman"/>
          <w:kern w:val="0"/>
          <w:lang w:eastAsia="el-GR"/>
        </w:rPr>
      </w:pPr>
      <w:r w:rsidRPr="000933B8">
        <w:rPr>
          <w:rFonts w:ascii="Times New Roman" w:eastAsia="Times New Roman" w:hAnsi="Times New Roman"/>
          <w:kern w:val="0"/>
          <w:lang w:eastAsia="el-GR"/>
        </w:rPr>
        <w:t xml:space="preserve">Σήμερα αποδεικνύεται ότι τα οικολογικά σχήματα δεν ήταν μια «νέα ευκαιρία» για την αγροτική πολιτική, αλλά η συνέχεια του ίδιου προβληματικού μοντέλου. Η διοικητική αρχιτεκτονική που διαμορφώθηκε γύρω από τα </w:t>
      </w:r>
      <w:proofErr w:type="spellStart"/>
      <w:r w:rsidRPr="000933B8">
        <w:rPr>
          <w:rFonts w:ascii="Times New Roman" w:eastAsia="Times New Roman" w:hAnsi="Times New Roman"/>
          <w:kern w:val="0"/>
          <w:lang w:eastAsia="el-GR"/>
        </w:rPr>
        <w:t>αγροπεριβαλλοντικά</w:t>
      </w:r>
      <w:proofErr w:type="spellEnd"/>
      <w:r w:rsidRPr="000933B8">
        <w:rPr>
          <w:rFonts w:ascii="Times New Roman" w:eastAsia="Times New Roman" w:hAnsi="Times New Roman"/>
          <w:kern w:val="0"/>
          <w:lang w:eastAsia="el-GR"/>
        </w:rPr>
        <w:t xml:space="preserve"> μέτρα και τα συστήματα ποιότητας δεν λειτούργησε ως ένα συνεκτικό σύστημα ελέγχου, αλλά ως ένας μηχανισμός κατακερματισμού αρμοδιοτήτων. Οι εμπλεκόμενες δομές – υπηρεσίες του </w:t>
      </w:r>
      <w:proofErr w:type="spellStart"/>
      <w:r w:rsidRPr="000933B8">
        <w:rPr>
          <w:rFonts w:ascii="Times New Roman" w:eastAsia="Times New Roman" w:hAnsi="Times New Roman"/>
          <w:kern w:val="0"/>
          <w:lang w:eastAsia="el-GR"/>
        </w:rPr>
        <w:t>ΥπΑΑΤ</w:t>
      </w:r>
      <w:proofErr w:type="spellEnd"/>
      <w:r w:rsidRPr="000933B8">
        <w:rPr>
          <w:rFonts w:ascii="Times New Roman" w:eastAsia="Times New Roman" w:hAnsi="Times New Roman"/>
          <w:kern w:val="0"/>
          <w:lang w:eastAsia="el-GR"/>
        </w:rPr>
        <w:t xml:space="preserve">, όπως η Διεύθυνση Συστημάτων Ποιότητας και Βιολογικής Γεωργίας, εποπτευόμενοι οργανισμοί όπως ο </w:t>
      </w:r>
      <w:r>
        <w:rPr>
          <w:rFonts w:ascii="Times New Roman" w:eastAsia="Times New Roman" w:hAnsi="Times New Roman"/>
          <w:kern w:val="0"/>
          <w:lang w:eastAsia="el-GR"/>
        </w:rPr>
        <w:t xml:space="preserve">πρώην </w:t>
      </w:r>
      <w:r w:rsidRPr="000933B8">
        <w:rPr>
          <w:rFonts w:ascii="Times New Roman" w:eastAsia="Times New Roman" w:hAnsi="Times New Roman"/>
          <w:kern w:val="0"/>
          <w:lang w:eastAsia="el-GR"/>
        </w:rPr>
        <w:t>ΟΠΕΚΕΠΕ, καθώς και το πλέγμα των ιδιωτικών φορέων πιστοποίησης – κινήθηκαν σε ένα πλαίσιο όπου η πλήρης εποπτεία δεν ανήκει σε κανέναν και η τελική ευθύνη μετακυλύετε διαρκώς.</w:t>
      </w:r>
    </w:p>
    <w:p w14:paraId="38C87066" w14:textId="77777777" w:rsidR="002946EA" w:rsidRPr="000933B8" w:rsidRDefault="002946EA" w:rsidP="002946EA">
      <w:pPr>
        <w:spacing w:after="0" w:line="276" w:lineRule="auto"/>
        <w:jc w:val="both"/>
        <w:rPr>
          <w:rFonts w:ascii="Times New Roman" w:eastAsia="Times New Roman" w:hAnsi="Times New Roman"/>
          <w:kern w:val="0"/>
          <w:lang w:eastAsia="el-GR"/>
        </w:rPr>
      </w:pPr>
      <w:r w:rsidRPr="000933B8">
        <w:rPr>
          <w:rFonts w:ascii="Times New Roman" w:eastAsia="Times New Roman" w:hAnsi="Times New Roman"/>
          <w:kern w:val="0"/>
          <w:lang w:eastAsia="el-GR"/>
        </w:rPr>
        <w:t xml:space="preserve">Μέσα σε αυτό το περιβάλλον, οι  ανακατανομές πόρων στα οικολογικά σχήματα </w:t>
      </w:r>
      <w:r>
        <w:rPr>
          <w:rFonts w:ascii="Times New Roman" w:eastAsia="Times New Roman" w:hAnsi="Times New Roman"/>
          <w:kern w:val="0"/>
          <w:lang w:eastAsia="el-GR"/>
        </w:rPr>
        <w:t>(</w:t>
      </w:r>
      <w:proofErr w:type="spellStart"/>
      <w:r>
        <w:rPr>
          <w:rFonts w:ascii="Times New Roman" w:eastAsia="Times New Roman" w:hAnsi="Times New Roman"/>
          <w:kern w:val="0"/>
          <w:lang w:eastAsia="el-GR"/>
        </w:rPr>
        <w:t>π.χ</w:t>
      </w:r>
      <w:proofErr w:type="spellEnd"/>
      <w:r>
        <w:rPr>
          <w:rFonts w:ascii="Times New Roman" w:eastAsia="Times New Roman" w:hAnsi="Times New Roman"/>
          <w:kern w:val="0"/>
          <w:lang w:eastAsia="el-GR"/>
        </w:rPr>
        <w:t xml:space="preserve"> με τις αποφάσεις των πρώην Υπουργών </w:t>
      </w:r>
      <w:proofErr w:type="spellStart"/>
      <w:r>
        <w:rPr>
          <w:rFonts w:ascii="Times New Roman" w:eastAsia="Times New Roman" w:hAnsi="Times New Roman"/>
          <w:kern w:val="0"/>
          <w:lang w:eastAsia="el-GR"/>
        </w:rPr>
        <w:t>Αυγενάκη</w:t>
      </w:r>
      <w:proofErr w:type="spellEnd"/>
      <w:r>
        <w:rPr>
          <w:rFonts w:ascii="Times New Roman" w:eastAsia="Times New Roman" w:hAnsi="Times New Roman"/>
          <w:kern w:val="0"/>
          <w:lang w:eastAsia="el-GR"/>
        </w:rPr>
        <w:t xml:space="preserve"> και Τσιάρα) </w:t>
      </w:r>
      <w:r w:rsidRPr="000933B8">
        <w:rPr>
          <w:rFonts w:ascii="Times New Roman" w:eastAsia="Times New Roman" w:hAnsi="Times New Roman"/>
          <w:kern w:val="0"/>
          <w:lang w:eastAsia="el-GR"/>
        </w:rPr>
        <w:t xml:space="preserve">και οι παρεμβάσεις στον αρχικό σχεδιασμό τους γεννούν εύλογα και σοβαρά ερωτήματα. Όταν ένα εργαλείο της Κοινής Αγροτικής Πολιτικής που σχεδιάστηκε με σαφή περιβαλλοντικό προσανατολισμό </w:t>
      </w:r>
      <w:r w:rsidRPr="000933B8">
        <w:rPr>
          <w:rFonts w:ascii="Times New Roman" w:eastAsia="Times New Roman" w:hAnsi="Times New Roman"/>
          <w:kern w:val="0"/>
          <w:lang w:eastAsia="el-GR"/>
        </w:rPr>
        <w:lastRenderedPageBreak/>
        <w:t>μεταβάλλεται στην πράξη ως προς τη στόχευσή του, όταν πόροι μετακινούνται από δράσεις υψηλής περιβαλλοντικής αξίας προς άλλες με περιορισμένη ή αμφίβολη αποτελεσματικότητα και όταν οι ωφελούμενοι εμφανίζουν έντονη γεωγραφική συγκέντρωση που δεν μπορεί να εξηγηθεί αποκλειστικά με τεχνικά κριτήρια, τότε η συζήτηση δεν μπορεί να περιορίζεται σε ζητήματα «διαχείρισης». Πρόκειται για πολιτικές επιλογές με σαφή κατεύθυνση, οι οποίες διαμόρφωσαν στην πράξη το αποτέλεσμα.</w:t>
      </w:r>
    </w:p>
    <w:p w14:paraId="7C8CB9A4" w14:textId="77777777" w:rsidR="002946EA" w:rsidRPr="000933B8" w:rsidRDefault="002946EA" w:rsidP="002946EA">
      <w:pPr>
        <w:spacing w:after="0" w:line="276" w:lineRule="auto"/>
        <w:jc w:val="both"/>
        <w:rPr>
          <w:rFonts w:ascii="Times New Roman" w:eastAsia="Times New Roman" w:hAnsi="Times New Roman"/>
          <w:kern w:val="0"/>
          <w:lang w:eastAsia="el-GR"/>
        </w:rPr>
      </w:pPr>
      <w:r w:rsidRPr="000933B8">
        <w:rPr>
          <w:rFonts w:ascii="Times New Roman" w:eastAsia="Times New Roman" w:hAnsi="Times New Roman"/>
          <w:kern w:val="0"/>
          <w:lang w:eastAsia="el-GR"/>
        </w:rPr>
        <w:t>Είναι πλέον εμφανές ότι οι παρεμβάσεις αυτές δεν ήταν τυχαίες ούτε αποσπασματικές, αλλά εντάσσονται σε ένα ευρύτερο πλαίσιο, όπου η διοίκηση δεν λειτούργησε ως ανεξάρτητος και αξιόπιστος μηχανισμός εφαρμογής των κανόνων, αλλά ως πεδίο στο οποίο οι κανόνες μεταβάλλονται εκ των υστέρων. Και αυτό είναι ένα ζήτημα βαθιά πολιτικό, το οποίο δεν μπορεί να «μεταφραστεί» ούτε να αποδοθεί σε τεχνικά επίπεδα ή σε επιμέρους διοικητικά σφάλματα.</w:t>
      </w:r>
    </w:p>
    <w:p w14:paraId="3DBAB872" w14:textId="77777777" w:rsidR="002946EA" w:rsidRPr="000933B8" w:rsidRDefault="002946EA" w:rsidP="002946EA">
      <w:pPr>
        <w:spacing w:after="0" w:line="276" w:lineRule="auto"/>
        <w:jc w:val="both"/>
        <w:rPr>
          <w:rFonts w:ascii="Times New Roman" w:eastAsia="Times New Roman" w:hAnsi="Times New Roman"/>
          <w:kern w:val="0"/>
          <w:lang w:eastAsia="el-GR"/>
        </w:rPr>
      </w:pPr>
      <w:r w:rsidRPr="000933B8">
        <w:rPr>
          <w:rFonts w:ascii="Times New Roman" w:eastAsia="Times New Roman" w:hAnsi="Times New Roman"/>
          <w:kern w:val="0"/>
          <w:lang w:eastAsia="el-GR"/>
        </w:rPr>
        <w:t>Η εμπειρία από τα προγράμματα βιολογικής γεωργίας είχε ήδη αναδείξει τα αδιέξοδα. Εκεί, οι έλεγχοι ενεργοποιήθηκαν καθυστερημένα και υπό πίεση, εντοπίστηκαν εκτεταμένες προβληματικές αιτήσεις και πιστοποιήσεις, ενώ το ίδιο το σύστημα τέθηκε υπό σοβαρή αμφισβήτηση. Η απομάκρυνση των δημόσιων γεωτεχνικών υπηρεσιών από τον επιχειρησιακό πυρήνα και η ανάθεση κρίσιμων λειτουργιών σε ένα πολυδιάσπαρτο σχήμα φορέων οδήγησε, με σχεδόν μαθηματική ακρίβεια, σε διοικητική απορρύθμιση. Σήμερα, στα οικολογικά σχήματα, το ίδιο μοτίβο επαναλαμβάνεται, με μεγαλύτερους οικονομικούς όγκους και σοβαρότερες πιθανές επιπτώσεις.</w:t>
      </w:r>
    </w:p>
    <w:p w14:paraId="3F42CE99" w14:textId="77777777" w:rsidR="002946EA" w:rsidRPr="000933B8" w:rsidRDefault="002946EA" w:rsidP="002946EA">
      <w:pPr>
        <w:spacing w:after="0" w:line="276" w:lineRule="auto"/>
        <w:jc w:val="both"/>
        <w:rPr>
          <w:rFonts w:ascii="Times New Roman" w:eastAsia="Times New Roman" w:hAnsi="Times New Roman"/>
          <w:kern w:val="0"/>
          <w:lang w:eastAsia="el-GR"/>
        </w:rPr>
      </w:pPr>
      <w:r w:rsidRPr="000933B8">
        <w:rPr>
          <w:rFonts w:ascii="Times New Roman" w:eastAsia="Times New Roman" w:hAnsi="Times New Roman"/>
          <w:kern w:val="0"/>
          <w:lang w:eastAsia="el-GR"/>
        </w:rPr>
        <w:t xml:space="preserve">Το ζήτημα πλέον δεν είναι αν υπάρχουν αστοχίες. </w:t>
      </w:r>
      <w:r w:rsidRPr="000933B8">
        <w:rPr>
          <w:rFonts w:ascii="Times New Roman" w:eastAsia="Times New Roman" w:hAnsi="Times New Roman"/>
          <w:b/>
          <w:bCs/>
          <w:kern w:val="0"/>
          <w:lang w:eastAsia="el-GR"/>
        </w:rPr>
        <w:t>Το ζήτημα είναι αν το ίδιο το μοντέλο μπορεί να διασφαλίσει τη νομιμότητα και τη διαφάνεια</w:t>
      </w:r>
      <w:r w:rsidRPr="000933B8">
        <w:rPr>
          <w:rFonts w:ascii="Times New Roman" w:eastAsia="Times New Roman" w:hAnsi="Times New Roman"/>
          <w:kern w:val="0"/>
          <w:lang w:eastAsia="el-GR"/>
        </w:rPr>
        <w:t>. Όταν η διαχείριση των πόρων διέρχεται μέσα από πολλαπλά επίπεδα χωρίς σαφή έλεγχο, όταν οι διαδικασίες βασίζονται κυρίως σε δηλώσεις και λιγότερο σε ουσιαστική επαλήθευση και όταν οι ελεγκτικοί μηχανισμοί παρεμβαίνουν εκ των υστέρων αντί να προλαμβάνουν, τότε το πρόβλημα είναι δομικό. Σε ένα τέτοιο περιβάλλον, το δημόσιο και ιδίως το κοινοτικό χρήμα δεν προστατεύεται επαρκώς.</w:t>
      </w:r>
    </w:p>
    <w:p w14:paraId="00FC8D9E" w14:textId="77777777" w:rsidR="002946EA" w:rsidRPr="000933B8" w:rsidRDefault="002946EA" w:rsidP="002946EA">
      <w:pPr>
        <w:spacing w:after="0" w:line="276" w:lineRule="auto"/>
        <w:jc w:val="both"/>
        <w:rPr>
          <w:rFonts w:ascii="Times New Roman" w:eastAsia="Times New Roman" w:hAnsi="Times New Roman"/>
          <w:kern w:val="0"/>
          <w:lang w:eastAsia="el-GR"/>
        </w:rPr>
      </w:pPr>
      <w:r w:rsidRPr="000933B8">
        <w:rPr>
          <w:rFonts w:ascii="Times New Roman" w:eastAsia="Times New Roman" w:hAnsi="Times New Roman"/>
          <w:b/>
          <w:bCs/>
          <w:kern w:val="0"/>
          <w:lang w:eastAsia="el-GR"/>
        </w:rPr>
        <w:t>Οι κίνδυνοι είναι πλέον ορατοί</w:t>
      </w:r>
      <w:r w:rsidRPr="000933B8">
        <w:rPr>
          <w:rFonts w:ascii="Times New Roman" w:eastAsia="Times New Roman" w:hAnsi="Times New Roman"/>
          <w:kern w:val="0"/>
          <w:lang w:eastAsia="el-GR"/>
        </w:rPr>
        <w:t>. Η χώρα εκτίθεται σε σοβαρό ενδεχόμενο δημοσιονομικών διορθώσεων, υπονομεύεται η αξιοπιστία της έναντι των ευρωπαϊκών θεσμών και, το σημαντικότερο, διαμορφώνεται μια βαθιά άδικη συνθήκη για τους παραγωγούς που λειτουργούν με συνέπεια. Υπάρχει ορατός κίνδυνος να βρεθούν αντιμέτωποι με τις συνέπειες ενός συστήματος το οποίο δεν επέλεξαν και δεν διαμόρφωσαν.</w:t>
      </w:r>
    </w:p>
    <w:p w14:paraId="73D18531" w14:textId="77777777" w:rsidR="002946EA" w:rsidRPr="000933B8" w:rsidRDefault="002946EA" w:rsidP="002946EA">
      <w:pPr>
        <w:spacing w:after="0" w:line="276" w:lineRule="auto"/>
        <w:jc w:val="both"/>
        <w:rPr>
          <w:rFonts w:ascii="Times New Roman" w:eastAsia="Times New Roman" w:hAnsi="Times New Roman"/>
          <w:kern w:val="0"/>
          <w:lang w:eastAsia="el-GR"/>
        </w:rPr>
      </w:pPr>
      <w:r w:rsidRPr="000933B8">
        <w:rPr>
          <w:rFonts w:ascii="Times New Roman" w:eastAsia="Times New Roman" w:hAnsi="Times New Roman"/>
          <w:b/>
          <w:bCs/>
          <w:kern w:val="0"/>
          <w:lang w:eastAsia="el-GR"/>
        </w:rPr>
        <w:t>Η ΠΟΓΕΔΥ θεωρεί ότι δεν υπάρχει πλέον περιθώριο για υπεκφυγές, γενικόλογες διαπιστώσεις ή αποσπασματικές διορθώσεις.</w:t>
      </w:r>
      <w:r w:rsidRPr="000933B8">
        <w:rPr>
          <w:rFonts w:ascii="Times New Roman" w:eastAsia="Times New Roman" w:hAnsi="Times New Roman"/>
          <w:kern w:val="0"/>
          <w:lang w:eastAsia="el-GR"/>
        </w:rPr>
        <w:t xml:space="preserve"> Απαιτείται πλήρης και σε βάθος διερεύνηση των παρεμβάσεων που οδήγησαν στη σημερινή κατάσταση, με σαφή και απερίφραστο προσδιορισμό ευθυνών σε όλα τα επίπεδα – πολιτικά, διοικητικά και οργανωτικά. Παράλληλα, είναι αναγκαία η συνολική επανεξέταση του μοντέλου διαχείρισης, με ενιαία προσέγγιση που θα καλύπτει το σύνολο του πλαισίου των </w:t>
      </w:r>
      <w:proofErr w:type="spellStart"/>
      <w:r w:rsidRPr="000933B8">
        <w:rPr>
          <w:rFonts w:ascii="Times New Roman" w:eastAsia="Times New Roman" w:hAnsi="Times New Roman"/>
          <w:kern w:val="0"/>
          <w:lang w:eastAsia="el-GR"/>
        </w:rPr>
        <w:t>γεωργοπεριβαλλοντικών</w:t>
      </w:r>
      <w:proofErr w:type="spellEnd"/>
      <w:r w:rsidRPr="000933B8">
        <w:rPr>
          <w:rFonts w:ascii="Times New Roman" w:eastAsia="Times New Roman" w:hAnsi="Times New Roman"/>
          <w:kern w:val="0"/>
          <w:lang w:eastAsia="el-GR"/>
        </w:rPr>
        <w:t xml:space="preserve"> δράσεων, από τα βιολογικά έως τα οικολογικά σχήματα και το σύστημα πιστοποίησης.</w:t>
      </w:r>
    </w:p>
    <w:p w14:paraId="47EF9BBE" w14:textId="77777777" w:rsidR="002946EA" w:rsidRPr="000933B8" w:rsidRDefault="002946EA" w:rsidP="002946EA">
      <w:pPr>
        <w:spacing w:after="0" w:line="276" w:lineRule="auto"/>
        <w:jc w:val="both"/>
        <w:rPr>
          <w:rFonts w:ascii="Times New Roman" w:eastAsia="Times New Roman" w:hAnsi="Times New Roman"/>
          <w:kern w:val="0"/>
          <w:lang w:eastAsia="el-GR"/>
        </w:rPr>
      </w:pPr>
      <w:r w:rsidRPr="000933B8">
        <w:rPr>
          <w:rFonts w:ascii="Times New Roman" w:eastAsia="Times New Roman" w:hAnsi="Times New Roman"/>
          <w:b/>
          <w:bCs/>
          <w:kern w:val="0"/>
          <w:lang w:eastAsia="el-GR"/>
        </w:rPr>
        <w:t>Κεντρικός πυλώνας αυτής της αλλαγής δεν μπορεί παρά να είναι η επαναφορά του δημόσιου ελέγχου σε πρωταγωνιστικό ρόλο</w:t>
      </w:r>
      <w:r w:rsidRPr="000933B8">
        <w:rPr>
          <w:rFonts w:ascii="Times New Roman" w:eastAsia="Times New Roman" w:hAnsi="Times New Roman"/>
          <w:kern w:val="0"/>
          <w:lang w:eastAsia="el-GR"/>
        </w:rPr>
        <w:t xml:space="preserve">. Η ενίσχυση των γεωτεχνικών υπηρεσιών, </w:t>
      </w:r>
      <w:r w:rsidRPr="000933B8">
        <w:rPr>
          <w:rFonts w:ascii="Times New Roman" w:eastAsia="Times New Roman" w:hAnsi="Times New Roman"/>
          <w:kern w:val="0"/>
          <w:lang w:eastAsia="el-GR"/>
        </w:rPr>
        <w:lastRenderedPageBreak/>
        <w:t>η αποκατάσταση του επιστημονικού χαρακτήρα των ελέγχων και η σαφής κατανομή αρμοδιοτήτων αποτελούν βασικές προϋποθέσεις για την αποκατάσταση της αξιοπιστίας. Ταυτόχρονα, απαιτείται πραγματική διαφάνεια στη διαχείριση των ενισχύσεων και ουσιαστική σύνδεσή τους με την πραγματική παραγωγή, ώστε να αποτραπούν φαινόμενα που απαξιώνουν συνολικά το σύστημα.</w:t>
      </w:r>
    </w:p>
    <w:p w14:paraId="4E369F77" w14:textId="77777777" w:rsidR="002946EA" w:rsidRPr="000933B8" w:rsidRDefault="002946EA" w:rsidP="002946EA">
      <w:pPr>
        <w:spacing w:after="0" w:line="276" w:lineRule="auto"/>
        <w:jc w:val="both"/>
        <w:rPr>
          <w:rFonts w:ascii="Times New Roman" w:eastAsia="Times New Roman" w:hAnsi="Times New Roman"/>
          <w:kern w:val="0"/>
          <w:lang w:eastAsia="el-GR"/>
        </w:rPr>
      </w:pPr>
      <w:r w:rsidRPr="000933B8">
        <w:rPr>
          <w:rFonts w:ascii="Times New Roman" w:eastAsia="Times New Roman" w:hAnsi="Times New Roman"/>
          <w:kern w:val="0"/>
          <w:lang w:eastAsia="el-GR"/>
        </w:rPr>
        <w:t>Η ΠΟΓΕΔΥ δεν διεκδικεί τον ρόλο του τιμητή. Διεκδικεί, όμως, τη στοιχειώδη θεσμική συνέπεια και υπευθυνότητα. Γιατί ο αγροτικός τομέας δεν μπορεί να στηριχθεί σε ένα διοικητικό υπόβαθρο που επιτρέπει την αναπαραγωγή των ίδιων λαθών και την επανάληψη των ίδιων κρίσεων.</w:t>
      </w:r>
    </w:p>
    <w:p w14:paraId="20907119" w14:textId="77777777" w:rsidR="002946EA" w:rsidRPr="000933B8" w:rsidRDefault="002946EA" w:rsidP="002946EA">
      <w:pPr>
        <w:spacing w:after="0" w:line="276" w:lineRule="auto"/>
        <w:jc w:val="both"/>
        <w:rPr>
          <w:rFonts w:ascii="Times New Roman" w:eastAsia="Times New Roman" w:hAnsi="Times New Roman"/>
          <w:kern w:val="0"/>
          <w:lang w:eastAsia="el-GR"/>
        </w:rPr>
      </w:pPr>
      <w:r w:rsidRPr="000933B8">
        <w:rPr>
          <w:rFonts w:ascii="Times New Roman" w:eastAsia="Times New Roman" w:hAnsi="Times New Roman"/>
          <w:b/>
          <w:bCs/>
          <w:kern w:val="0"/>
          <w:lang w:eastAsia="el-GR"/>
        </w:rPr>
        <w:t>Η χώρα βρίσκεται πλέον μπροστά σε μια καθοριστική επιλογή</w:t>
      </w:r>
      <w:r w:rsidRPr="000933B8">
        <w:rPr>
          <w:rFonts w:ascii="Times New Roman" w:eastAsia="Times New Roman" w:hAnsi="Times New Roman"/>
          <w:kern w:val="0"/>
          <w:lang w:eastAsia="el-GR"/>
        </w:rPr>
        <w:t xml:space="preserve">. Είτε θα συνεχίσει σε ένα μοντέλο που παράγει στρεβλώσεις, μεταθέτει ευθύνες και εκθέτει τη χώρα διεθνώς, είτε θα προχωρήσει με αποφασιστικότητα σε μια ουσιαστική </w:t>
      </w:r>
      <w:proofErr w:type="spellStart"/>
      <w:r w:rsidRPr="000933B8">
        <w:rPr>
          <w:rFonts w:ascii="Times New Roman" w:eastAsia="Times New Roman" w:hAnsi="Times New Roman"/>
          <w:kern w:val="0"/>
          <w:lang w:eastAsia="el-GR"/>
        </w:rPr>
        <w:t>επαναθεμελίωση</w:t>
      </w:r>
      <w:proofErr w:type="spellEnd"/>
      <w:r w:rsidRPr="000933B8">
        <w:rPr>
          <w:rFonts w:ascii="Times New Roman" w:eastAsia="Times New Roman" w:hAnsi="Times New Roman"/>
          <w:kern w:val="0"/>
          <w:lang w:eastAsia="el-GR"/>
        </w:rPr>
        <w:t xml:space="preserve"> της αγροτικής πολιτικής και διοίκησης.</w:t>
      </w:r>
    </w:p>
    <w:p w14:paraId="604F8FE4" w14:textId="77777777" w:rsidR="002946EA" w:rsidRPr="000933B8" w:rsidRDefault="002946EA" w:rsidP="002946EA">
      <w:pPr>
        <w:spacing w:after="0" w:line="276" w:lineRule="auto"/>
        <w:jc w:val="both"/>
        <w:rPr>
          <w:rFonts w:ascii="Times New Roman" w:eastAsia="Times New Roman" w:hAnsi="Times New Roman"/>
          <w:b/>
          <w:bCs/>
          <w:kern w:val="0"/>
          <w:lang w:eastAsia="el-GR"/>
        </w:rPr>
      </w:pPr>
      <w:r w:rsidRPr="000933B8">
        <w:rPr>
          <w:rFonts w:ascii="Times New Roman" w:eastAsia="Times New Roman" w:hAnsi="Times New Roman"/>
          <w:b/>
          <w:bCs/>
          <w:kern w:val="0"/>
          <w:lang w:eastAsia="el-GR"/>
        </w:rPr>
        <w:t>Η επιλογή αυτή δεν είναι τεχνική.</w:t>
      </w:r>
    </w:p>
    <w:p w14:paraId="6750066D" w14:textId="77777777" w:rsidR="002946EA" w:rsidRPr="000933B8" w:rsidRDefault="002946EA" w:rsidP="002946EA">
      <w:pPr>
        <w:spacing w:after="0" w:line="276" w:lineRule="auto"/>
        <w:jc w:val="both"/>
        <w:rPr>
          <w:rFonts w:ascii="Times New Roman" w:eastAsia="Times New Roman" w:hAnsi="Times New Roman"/>
          <w:b/>
          <w:bCs/>
          <w:kern w:val="0"/>
          <w:lang w:eastAsia="el-GR"/>
        </w:rPr>
      </w:pPr>
      <w:r w:rsidRPr="000933B8">
        <w:rPr>
          <w:rFonts w:ascii="Times New Roman" w:eastAsia="Times New Roman" w:hAnsi="Times New Roman"/>
          <w:b/>
          <w:bCs/>
          <w:kern w:val="0"/>
          <w:lang w:eastAsia="el-GR"/>
        </w:rPr>
        <w:t>Είναι βαθιά πολιτική.</w:t>
      </w:r>
    </w:p>
    <w:p w14:paraId="04137352" w14:textId="77777777" w:rsidR="002946EA" w:rsidRPr="000933B8" w:rsidRDefault="002946EA" w:rsidP="002946EA">
      <w:pPr>
        <w:spacing w:after="0" w:line="276" w:lineRule="auto"/>
        <w:jc w:val="both"/>
        <w:rPr>
          <w:rFonts w:ascii="Times New Roman" w:eastAsia="Times New Roman" w:hAnsi="Times New Roman"/>
          <w:b/>
          <w:bCs/>
          <w:kern w:val="0"/>
          <w:lang w:eastAsia="el-GR"/>
        </w:rPr>
      </w:pPr>
      <w:r w:rsidRPr="000933B8">
        <w:rPr>
          <w:rFonts w:ascii="Times New Roman" w:eastAsia="Times New Roman" w:hAnsi="Times New Roman"/>
          <w:b/>
          <w:bCs/>
          <w:kern w:val="0"/>
          <w:lang w:eastAsia="el-GR"/>
        </w:rPr>
        <w:t>Και δεν μπορεί να καθυστερήσει άλλο.</w:t>
      </w:r>
    </w:p>
    <w:p w14:paraId="793BBD98" w14:textId="77777777" w:rsidR="000F1B4D" w:rsidRDefault="00D17673" w:rsidP="00570380">
      <w:pPr>
        <w:pStyle w:val="isselectedend"/>
        <w:spacing w:before="0" w:beforeAutospacing="0" w:after="0" w:afterAutospacing="0" w:line="276" w:lineRule="auto"/>
        <w:ind w:right="-99"/>
        <w:jc w:val="both"/>
        <w:rPr>
          <w:b/>
          <w:bCs/>
        </w:rPr>
      </w:pPr>
      <w:r>
        <w:t xml:space="preserve"> </w:t>
      </w:r>
      <w:r w:rsidR="00570380">
        <w:t xml:space="preserve"> </w:t>
      </w:r>
    </w:p>
    <w:p w14:paraId="03E561E4" w14:textId="77777777" w:rsidR="000F1B4D" w:rsidRPr="000F1B4D" w:rsidRDefault="000F1B4D" w:rsidP="000F1B4D">
      <w:pPr>
        <w:spacing w:after="0" w:line="240" w:lineRule="auto"/>
        <w:ind w:right="-99"/>
        <w:jc w:val="both"/>
        <w:rPr>
          <w:rFonts w:ascii="Times New Roman" w:eastAsia="Times New Roman" w:hAnsi="Times New Roman"/>
          <w:b/>
          <w:bCs/>
          <w:kern w:val="0"/>
          <w:lang w:eastAsia="el-GR"/>
        </w:rPr>
      </w:pPr>
    </w:p>
    <w:p w14:paraId="11E90A13" w14:textId="77777777" w:rsidR="00FA6B32" w:rsidRPr="00B00F7C" w:rsidRDefault="001906EE" w:rsidP="000F1B4D">
      <w:pPr>
        <w:spacing w:line="360" w:lineRule="auto"/>
        <w:ind w:left="4320"/>
        <w:jc w:val="both"/>
        <w:rPr>
          <w:rFonts w:ascii="Times New Roman" w:hAnsi="Times New Roman"/>
        </w:rPr>
      </w:pPr>
      <w:r w:rsidRPr="00660867">
        <w:rPr>
          <w:rFonts w:ascii="Times New Roman" w:eastAsia="Times New Roman" w:hAnsi="Times New Roman"/>
          <w:kern w:val="0"/>
          <w:lang w:eastAsia="el-GR"/>
        </w:rPr>
        <w:t xml:space="preserve"> </w:t>
      </w:r>
      <w:r w:rsidR="000F1B4D">
        <w:rPr>
          <w:rFonts w:ascii="Times New Roman" w:eastAsia="Times New Roman" w:hAnsi="Times New Roman"/>
          <w:kern w:val="0"/>
          <w:lang w:eastAsia="el-GR"/>
        </w:rPr>
        <w:t xml:space="preserve">                </w:t>
      </w:r>
      <w:r w:rsidR="000F1B4D">
        <w:rPr>
          <w:rStyle w:val="ac"/>
        </w:rPr>
        <w:t>Για το Δ.Σ</w:t>
      </w:r>
    </w:p>
    <w:p w14:paraId="34342EC1" w14:textId="77777777" w:rsidR="00FA6B32" w:rsidRPr="00FA6B32" w:rsidRDefault="00F9775A" w:rsidP="00A7314C">
      <w:pPr>
        <w:spacing w:line="360" w:lineRule="auto"/>
        <w:jc w:val="center"/>
        <w:rPr>
          <w:rFonts w:ascii="Times New Roman" w:hAnsi="Times New Roman"/>
          <w:sz w:val="28"/>
          <w:szCs w:val="28"/>
        </w:rPr>
      </w:pPr>
      <w:r>
        <w:rPr>
          <w:rFonts w:ascii="Arial" w:hAnsi="Arial" w:cs="Arial"/>
          <w:noProof/>
          <w:w w:val="85"/>
          <w:sz w:val="28"/>
          <w:szCs w:val="28"/>
          <w:lang w:eastAsia="el-GR"/>
        </w:rPr>
        <w:t xml:space="preserve">                                                            </w:t>
      </w:r>
      <w:r w:rsidR="00345D55">
        <w:rPr>
          <w:rFonts w:ascii="Arial" w:hAnsi="Arial" w:cs="Arial"/>
          <w:noProof/>
          <w:w w:val="85"/>
          <w:sz w:val="28"/>
          <w:szCs w:val="28"/>
          <w:lang w:eastAsia="el-GR"/>
        </w:rPr>
        <w:drawing>
          <wp:inline distT="0" distB="0" distL="0" distR="0" wp14:anchorId="50F27043" wp14:editId="7FC9A57C">
            <wp:extent cx="1285817" cy="1025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77943" cy="1099002"/>
                    </a:xfrm>
                    <a:prstGeom prst="rect">
                      <a:avLst/>
                    </a:prstGeom>
                    <a:noFill/>
                    <a:ln w="9525">
                      <a:noFill/>
                      <a:miter lim="800000"/>
                      <a:headEnd/>
                      <a:tailEnd/>
                    </a:ln>
                  </pic:spPr>
                </pic:pic>
              </a:graphicData>
            </a:graphic>
          </wp:inline>
        </w:drawing>
      </w:r>
    </w:p>
    <w:sectPr w:rsidR="00FA6B32" w:rsidRPr="00FA6B32" w:rsidSect="000F1B4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6B8"/>
    <w:multiLevelType w:val="multilevel"/>
    <w:tmpl w:val="92C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A2C26"/>
    <w:multiLevelType w:val="hybridMultilevel"/>
    <w:tmpl w:val="C24C6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0D5AE7"/>
    <w:multiLevelType w:val="multilevel"/>
    <w:tmpl w:val="448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D53E6"/>
    <w:multiLevelType w:val="hybridMultilevel"/>
    <w:tmpl w:val="DEA04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5170C9"/>
    <w:multiLevelType w:val="multilevel"/>
    <w:tmpl w:val="38A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E740E"/>
    <w:multiLevelType w:val="multilevel"/>
    <w:tmpl w:val="41B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110931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7731732">
    <w:abstractNumId w:val="7"/>
  </w:num>
  <w:num w:numId="3" w16cid:durableId="1326206997">
    <w:abstractNumId w:val="4"/>
  </w:num>
  <w:num w:numId="4" w16cid:durableId="669678041">
    <w:abstractNumId w:val="1"/>
  </w:num>
  <w:num w:numId="5" w16cid:durableId="1846094091">
    <w:abstractNumId w:val="2"/>
  </w:num>
  <w:num w:numId="6" w16cid:durableId="1473448365">
    <w:abstractNumId w:val="3"/>
  </w:num>
  <w:num w:numId="7" w16cid:durableId="1955554788">
    <w:abstractNumId w:val="6"/>
  </w:num>
  <w:num w:numId="8" w16cid:durableId="1154294948">
    <w:abstractNumId w:val="0"/>
  </w:num>
  <w:num w:numId="9" w16cid:durableId="1099645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A"/>
    <w:rsid w:val="0003120C"/>
    <w:rsid w:val="000326A1"/>
    <w:rsid w:val="00042F3B"/>
    <w:rsid w:val="00076B7E"/>
    <w:rsid w:val="0008397C"/>
    <w:rsid w:val="0008481F"/>
    <w:rsid w:val="000A46BB"/>
    <w:rsid w:val="000B1E2B"/>
    <w:rsid w:val="000D54B5"/>
    <w:rsid w:val="000F1B4D"/>
    <w:rsid w:val="000F3DD2"/>
    <w:rsid w:val="00117AA4"/>
    <w:rsid w:val="0017602D"/>
    <w:rsid w:val="001906EE"/>
    <w:rsid w:val="001F0D4D"/>
    <w:rsid w:val="001F752F"/>
    <w:rsid w:val="0021773E"/>
    <w:rsid w:val="00232C68"/>
    <w:rsid w:val="00235D0A"/>
    <w:rsid w:val="00245310"/>
    <w:rsid w:val="00252F24"/>
    <w:rsid w:val="0025312F"/>
    <w:rsid w:val="0027735C"/>
    <w:rsid w:val="002946EA"/>
    <w:rsid w:val="002D340C"/>
    <w:rsid w:val="002D62EB"/>
    <w:rsid w:val="002E328B"/>
    <w:rsid w:val="002E6EF5"/>
    <w:rsid w:val="00301673"/>
    <w:rsid w:val="00345D55"/>
    <w:rsid w:val="00381171"/>
    <w:rsid w:val="00386172"/>
    <w:rsid w:val="003E1E84"/>
    <w:rsid w:val="003E4A11"/>
    <w:rsid w:val="003E6FDF"/>
    <w:rsid w:val="003F12B4"/>
    <w:rsid w:val="00401D7D"/>
    <w:rsid w:val="004308BC"/>
    <w:rsid w:val="00435B84"/>
    <w:rsid w:val="00476374"/>
    <w:rsid w:val="00477E7F"/>
    <w:rsid w:val="00482185"/>
    <w:rsid w:val="004A0873"/>
    <w:rsid w:val="00500175"/>
    <w:rsid w:val="0050352B"/>
    <w:rsid w:val="00546306"/>
    <w:rsid w:val="00570380"/>
    <w:rsid w:val="00571246"/>
    <w:rsid w:val="0057226F"/>
    <w:rsid w:val="00581B7F"/>
    <w:rsid w:val="00582BC0"/>
    <w:rsid w:val="00584ACF"/>
    <w:rsid w:val="005D16DE"/>
    <w:rsid w:val="005E2F74"/>
    <w:rsid w:val="005F4195"/>
    <w:rsid w:val="0063489E"/>
    <w:rsid w:val="00635048"/>
    <w:rsid w:val="00635F04"/>
    <w:rsid w:val="00637A04"/>
    <w:rsid w:val="00656196"/>
    <w:rsid w:val="00660867"/>
    <w:rsid w:val="00696590"/>
    <w:rsid w:val="006B3423"/>
    <w:rsid w:val="006D213E"/>
    <w:rsid w:val="00720D7B"/>
    <w:rsid w:val="00747815"/>
    <w:rsid w:val="007551D1"/>
    <w:rsid w:val="007813EA"/>
    <w:rsid w:val="00781491"/>
    <w:rsid w:val="0078720C"/>
    <w:rsid w:val="007B0CE6"/>
    <w:rsid w:val="007C32EE"/>
    <w:rsid w:val="007C7C25"/>
    <w:rsid w:val="007D6712"/>
    <w:rsid w:val="007E4D4C"/>
    <w:rsid w:val="007E7385"/>
    <w:rsid w:val="008127A1"/>
    <w:rsid w:val="0084433E"/>
    <w:rsid w:val="00850497"/>
    <w:rsid w:val="00856B89"/>
    <w:rsid w:val="00883A7A"/>
    <w:rsid w:val="008B6920"/>
    <w:rsid w:val="009178D0"/>
    <w:rsid w:val="009205F8"/>
    <w:rsid w:val="00934819"/>
    <w:rsid w:val="0095620E"/>
    <w:rsid w:val="009651A6"/>
    <w:rsid w:val="00990A98"/>
    <w:rsid w:val="009A7C66"/>
    <w:rsid w:val="009C3C3D"/>
    <w:rsid w:val="009D0A5A"/>
    <w:rsid w:val="009D1417"/>
    <w:rsid w:val="009E2D88"/>
    <w:rsid w:val="009E6129"/>
    <w:rsid w:val="00A7314C"/>
    <w:rsid w:val="00AC337A"/>
    <w:rsid w:val="00AC6A84"/>
    <w:rsid w:val="00AE168E"/>
    <w:rsid w:val="00AE620A"/>
    <w:rsid w:val="00AF6E3C"/>
    <w:rsid w:val="00B00F7C"/>
    <w:rsid w:val="00B0514A"/>
    <w:rsid w:val="00B42166"/>
    <w:rsid w:val="00B45086"/>
    <w:rsid w:val="00B50E20"/>
    <w:rsid w:val="00B92255"/>
    <w:rsid w:val="00BA445D"/>
    <w:rsid w:val="00BD3DB7"/>
    <w:rsid w:val="00BD6B05"/>
    <w:rsid w:val="00CB1CF6"/>
    <w:rsid w:val="00D02018"/>
    <w:rsid w:val="00D11DFF"/>
    <w:rsid w:val="00D15FE3"/>
    <w:rsid w:val="00D17673"/>
    <w:rsid w:val="00D37511"/>
    <w:rsid w:val="00D86283"/>
    <w:rsid w:val="00DB2625"/>
    <w:rsid w:val="00E350C1"/>
    <w:rsid w:val="00E35771"/>
    <w:rsid w:val="00E54A04"/>
    <w:rsid w:val="00E64022"/>
    <w:rsid w:val="00E756A9"/>
    <w:rsid w:val="00EA0B06"/>
    <w:rsid w:val="00ED151D"/>
    <w:rsid w:val="00F13201"/>
    <w:rsid w:val="00F14721"/>
    <w:rsid w:val="00F66781"/>
    <w:rsid w:val="00F72308"/>
    <w:rsid w:val="00F9775A"/>
    <w:rsid w:val="00FA6B32"/>
    <w:rsid w:val="00FC5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6A53"/>
  <w15:docId w15:val="{11578A79-16F8-4B14-88E7-031534A0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paragraph" w:customStyle="1" w:styleId="gmail-msolistparagraph">
    <w:name w:val="gmail-msolistparagraph"/>
    <w:basedOn w:val="a"/>
    <w:rsid w:val="009D1417"/>
    <w:pPr>
      <w:spacing w:before="100" w:beforeAutospacing="1" w:after="100" w:afterAutospacing="1" w:line="240" w:lineRule="auto"/>
    </w:pPr>
    <w:rPr>
      <w:rFonts w:ascii="Times New Roman" w:eastAsiaTheme="minorHAnsi" w:hAnsi="Times New Roman"/>
      <w:kern w:val="0"/>
      <w:lang w:eastAsia="el-GR"/>
    </w:rPr>
  </w:style>
  <w:style w:type="paragraph" w:customStyle="1" w:styleId="isselectedend">
    <w:name w:val="isselectedend"/>
    <w:basedOn w:val="a"/>
    <w:rsid w:val="00AE168E"/>
    <w:pPr>
      <w:spacing w:before="100" w:beforeAutospacing="1" w:after="100" w:afterAutospacing="1" w:line="240" w:lineRule="auto"/>
    </w:pPr>
    <w:rPr>
      <w:rFonts w:ascii="Times New Roman" w:eastAsia="Times New Roman" w:hAnsi="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367">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273176829">
      <w:bodyDiv w:val="1"/>
      <w:marLeft w:val="0"/>
      <w:marRight w:val="0"/>
      <w:marTop w:val="0"/>
      <w:marBottom w:val="0"/>
      <w:divBdr>
        <w:top w:val="none" w:sz="0" w:space="0" w:color="auto"/>
        <w:left w:val="none" w:sz="0" w:space="0" w:color="auto"/>
        <w:bottom w:val="none" w:sz="0" w:space="0" w:color="auto"/>
        <w:right w:val="none" w:sz="0" w:space="0" w:color="auto"/>
      </w:divBdr>
    </w:div>
    <w:div w:id="535776516">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611400864">
      <w:bodyDiv w:val="1"/>
      <w:marLeft w:val="0"/>
      <w:marRight w:val="0"/>
      <w:marTop w:val="0"/>
      <w:marBottom w:val="0"/>
      <w:divBdr>
        <w:top w:val="none" w:sz="0" w:space="0" w:color="auto"/>
        <w:left w:val="none" w:sz="0" w:space="0" w:color="auto"/>
        <w:bottom w:val="none" w:sz="0" w:space="0" w:color="auto"/>
        <w:right w:val="none" w:sz="0" w:space="0" w:color="auto"/>
      </w:divBdr>
    </w:div>
    <w:div w:id="695277080">
      <w:bodyDiv w:val="1"/>
      <w:marLeft w:val="0"/>
      <w:marRight w:val="0"/>
      <w:marTop w:val="0"/>
      <w:marBottom w:val="0"/>
      <w:divBdr>
        <w:top w:val="none" w:sz="0" w:space="0" w:color="auto"/>
        <w:left w:val="none" w:sz="0" w:space="0" w:color="auto"/>
        <w:bottom w:val="none" w:sz="0" w:space="0" w:color="auto"/>
        <w:right w:val="none" w:sz="0" w:space="0" w:color="auto"/>
      </w:divBdr>
    </w:div>
    <w:div w:id="734473154">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149058400">
      <w:bodyDiv w:val="1"/>
      <w:marLeft w:val="0"/>
      <w:marRight w:val="0"/>
      <w:marTop w:val="0"/>
      <w:marBottom w:val="0"/>
      <w:divBdr>
        <w:top w:val="none" w:sz="0" w:space="0" w:color="auto"/>
        <w:left w:val="none" w:sz="0" w:space="0" w:color="auto"/>
        <w:bottom w:val="none" w:sz="0" w:space="0" w:color="auto"/>
        <w:right w:val="none" w:sz="0" w:space="0" w:color="auto"/>
      </w:divBdr>
    </w:div>
    <w:div w:id="1279602165">
      <w:bodyDiv w:val="1"/>
      <w:marLeft w:val="0"/>
      <w:marRight w:val="0"/>
      <w:marTop w:val="0"/>
      <w:marBottom w:val="0"/>
      <w:divBdr>
        <w:top w:val="none" w:sz="0" w:space="0" w:color="auto"/>
        <w:left w:val="none" w:sz="0" w:space="0" w:color="auto"/>
        <w:bottom w:val="none" w:sz="0" w:space="0" w:color="auto"/>
        <w:right w:val="none" w:sz="0" w:space="0" w:color="auto"/>
      </w:divBdr>
      <w:divsChild>
        <w:div w:id="1566378477">
          <w:marLeft w:val="0"/>
          <w:marRight w:val="0"/>
          <w:marTop w:val="0"/>
          <w:marBottom w:val="0"/>
          <w:divBdr>
            <w:top w:val="none" w:sz="0" w:space="0" w:color="auto"/>
            <w:left w:val="none" w:sz="0" w:space="0" w:color="auto"/>
            <w:bottom w:val="none" w:sz="0" w:space="0" w:color="auto"/>
            <w:right w:val="none" w:sz="0" w:space="0" w:color="auto"/>
          </w:divBdr>
        </w:div>
      </w:divsChild>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 w:id="19930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5700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6742</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2</cp:revision>
  <dcterms:created xsi:type="dcterms:W3CDTF">2026-06-09T04:18:00Z</dcterms:created>
  <dcterms:modified xsi:type="dcterms:W3CDTF">2026-06-09T04:18:00Z</dcterms:modified>
</cp:coreProperties>
</file>