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="-464" w:tblpY="811"/>
        <w:tblW w:w="945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459"/>
      </w:tblGrid>
      <w:tr w:rsidR="004C0C85" w:rsidRPr="00A770D6" w14:paraId="3C908FDB" w14:textId="77777777" w:rsidTr="005651AF">
        <w:tc>
          <w:tcPr>
            <w:tcW w:w="9459" w:type="dxa"/>
            <w:tcMar>
              <w:left w:w="103" w:type="dxa"/>
            </w:tcMar>
          </w:tcPr>
          <w:p w14:paraId="59D1ED73" w14:textId="77777777" w:rsidR="004C0C85" w:rsidRPr="00364E57" w:rsidRDefault="004C0C85" w:rsidP="005651AF">
            <w:pPr>
              <w:pStyle w:val="1"/>
              <w:rPr>
                <w:szCs w:val="26"/>
              </w:rPr>
            </w:pPr>
            <w:r w:rsidRPr="00364E57">
              <w:rPr>
                <w:szCs w:val="26"/>
              </w:rPr>
              <w:t xml:space="preserve">ΠΑΝΕΛΛΗΝΙΑ ΟΜΟΣΠΟΝΔΙΑ ΓΕΩΤΕΧΝΙΚΩΝ ΔΗΜΟΣΙΩΝ ΥΠΑΛΛΗΛΩΝ </w:t>
            </w:r>
            <w:r w:rsidRPr="00364E57">
              <w:rPr>
                <w:b w:val="0"/>
                <w:bCs/>
                <w:szCs w:val="26"/>
              </w:rPr>
              <w:t>(ΠΟΓΕΔΥ)</w:t>
            </w:r>
          </w:p>
          <w:p w14:paraId="658F38A8" w14:textId="77777777" w:rsidR="004C0C85" w:rsidRPr="00364E57" w:rsidRDefault="004C0C85" w:rsidP="005651AF">
            <w:pPr>
              <w:jc w:val="center"/>
              <w:rPr>
                <w:rFonts w:ascii="Times New Roman" w:hAnsi="Times New Roman" w:cs="Times New Roman"/>
              </w:rPr>
            </w:pPr>
            <w:r w:rsidRPr="00364E57">
              <w:rPr>
                <w:rFonts w:ascii="Times New Roman" w:hAnsi="Times New Roman" w:cs="Times New Roman"/>
              </w:rPr>
              <w:t>ΓΕΩΠΟΝΟΙ – ΔΑΣΟΛΟΓΟΙ – ΚΤΗΝΙΑΤΡΟΙ – ΙΧΘΥΟΛΟΓΟΙ - ΓΕΩΛΟΓΟΙ</w:t>
            </w:r>
          </w:p>
          <w:p w14:paraId="427D63BE" w14:textId="77777777" w:rsidR="004C0C85" w:rsidRPr="00364E57" w:rsidRDefault="004C0C85" w:rsidP="005651AF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364E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FAX</w:t>
            </w:r>
            <w:r w:rsidRPr="00364E57">
              <w:rPr>
                <w:rFonts w:ascii="Times New Roman" w:hAnsi="Times New Roman" w:cs="Times New Roman"/>
                <w:bCs/>
                <w:sz w:val="24"/>
                <w:szCs w:val="24"/>
              </w:rPr>
              <w:t>: 210-5232240</w:t>
            </w:r>
          </w:p>
          <w:p w14:paraId="5F683A47" w14:textId="77777777" w:rsidR="004C0C85" w:rsidRPr="00364E57" w:rsidRDefault="004C0C85" w:rsidP="005651AF">
            <w:pPr>
              <w:ind w:right="34"/>
              <w:jc w:val="center"/>
              <w:rPr>
                <w:b/>
                <w:sz w:val="26"/>
                <w:szCs w:val="26"/>
                <w:lang w:val="en-US"/>
              </w:rPr>
            </w:pPr>
            <w:r w:rsidRPr="00364E5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e-mail: </w:t>
            </w:r>
            <w:hyperlink r:id="rId5" w:history="1">
              <w:r w:rsidRPr="00E90001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ax</w:t>
              </w:r>
              <w:r w:rsidRPr="00364E57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2</w:t>
              </w:r>
              <w:r w:rsidRPr="00E90001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u</w:t>
              </w:r>
              <w:r w:rsidRPr="00364E57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128@</w:t>
              </w:r>
              <w:r w:rsidRPr="00E90001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minagric</w:t>
              </w:r>
              <w:r w:rsidRPr="00364E57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.</w:t>
              </w:r>
              <w:r w:rsidRPr="00E90001">
                <w:rPr>
                  <w:rStyle w:val="-"/>
                  <w:rFonts w:ascii="Times New Roman" w:hAnsi="Times New Roman" w:cs="Times New Roman"/>
                  <w:bCs/>
                  <w:sz w:val="26"/>
                  <w:szCs w:val="26"/>
                  <w:lang w:val="en-US"/>
                </w:rPr>
                <w:t>gr</w:t>
              </w:r>
            </w:hyperlink>
            <w:r w:rsidRPr="00364E5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10EBAB23" w14:textId="77777777" w:rsidR="004C0C85" w:rsidRPr="004C0C85" w:rsidRDefault="004C0C85" w:rsidP="006873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</w:pPr>
    </w:p>
    <w:p w14:paraId="3C112ABE" w14:textId="77777777" w:rsidR="00687369" w:rsidRPr="004C0C85" w:rsidRDefault="00687369" w:rsidP="004C0C85">
      <w:pPr>
        <w:jc w:val="center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4C0C85">
        <w:rPr>
          <w:rFonts w:ascii="Times New Roman" w:hAnsi="Times New Roman" w:cs="Times New Roman"/>
          <w:b/>
          <w:sz w:val="28"/>
          <w:szCs w:val="28"/>
          <w:lang w:eastAsia="el-GR"/>
        </w:rPr>
        <w:t>ΔΕΛΤΙΟ ΤΥΠΟΥ</w:t>
      </w:r>
    </w:p>
    <w:p w14:paraId="79A18A5F" w14:textId="77777777" w:rsidR="00687369" w:rsidRPr="004C0C85" w:rsidRDefault="00687369" w:rsidP="004C0C85">
      <w:pPr>
        <w:jc w:val="center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4C0C85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Η ΠΟΓΕΔΥ ζητά </w:t>
      </w:r>
      <w:r w:rsidR="004C0C85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ΕΠΙΤΕΛΟΥΣ </w:t>
      </w:r>
      <w:r w:rsidRPr="004C0C85">
        <w:rPr>
          <w:rFonts w:ascii="Times New Roman" w:hAnsi="Times New Roman" w:cs="Times New Roman"/>
          <w:b/>
          <w:sz w:val="28"/>
          <w:szCs w:val="28"/>
          <w:lang w:eastAsia="el-GR"/>
        </w:rPr>
        <w:t>απαντήσεις και πλήρη διαφάνεια για τη λειτουργία του ΤΓΚ</w:t>
      </w:r>
      <w:r w:rsidR="00C72438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και προειδοποιεί πως ΄΄ οι εισαγγελείς πλησιάζουν΄΄</w:t>
      </w:r>
    </w:p>
    <w:p w14:paraId="45464610" w14:textId="3E5BB23A" w:rsidR="00687369" w:rsidRPr="00687369" w:rsidRDefault="00687369" w:rsidP="004C0C85">
      <w:p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αφορμή </w:t>
      </w:r>
      <w:r w:rsidR="003441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σημερινό </w:t>
      </w: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δημοσίευμα του ηλεκτρονικού τύπου σχετικά με τη λειτουργία του Ταμείου Γεωργίας και Κτηνοτροφίας (ΤΓΚ) και σε συνέχεια των επανειλημμένων εγγράφων, παρεμβάσεων και δελτίων τύπου της ΠΟΓΕΔΥ από </w:t>
      </w:r>
      <w:hyperlink r:id="rId6" w:history="1">
        <w:r w:rsidRPr="00A770D6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28-01-2026</w:t>
        </w:r>
      </w:hyperlink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έως και </w:t>
      </w:r>
      <w:hyperlink r:id="rId7" w:history="1">
        <w:r w:rsidRPr="00A770D6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18-05-2026</w:t>
        </w:r>
      </w:hyperlink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 Πανελλήνια Ομοσπονδία Γεωτεχνικών Δημοσίων Υπαλλήλων επανέρχεται δημόσια ζητώντας σαφείς απαντήσεις, πλήρη διαφάνεια και ουσιαστική θεσμική παρέμβαση για τη λειτουργία του εν λόγω ΝΠΔΔ που </w:t>
      </w:r>
      <w:r w:rsidR="0034414A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>εποπτεύεται</w:t>
      </w:r>
      <w:r w:rsidR="0034414A">
        <w:rPr>
          <w:rFonts w:ascii="Times New Roman" w:eastAsia="Times New Roman" w:hAnsi="Times New Roman" w:cs="Times New Roman"/>
          <w:sz w:val="24"/>
          <w:szCs w:val="24"/>
          <w:lang w:eastAsia="el-GR"/>
        </w:rPr>
        <w:t>»</w:t>
      </w: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Υπουργείο Αγροτικής Ανάπτυξης και Τροφίμων.</w:t>
      </w:r>
    </w:p>
    <w:p w14:paraId="33FAAEDA" w14:textId="77777777" w:rsidR="00687369" w:rsidRPr="00687369" w:rsidRDefault="00687369" w:rsidP="004C0C85">
      <w:p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πρόσφατο </w:t>
      </w:r>
      <w:proofErr w:type="spellStart"/>
      <w:r w:rsidR="0034414A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καταγγελτικό</w:t>
      </w:r>
      <w:proofErr w:type="spellEnd"/>
      <w:r w:rsidR="003441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δημοσίευμα επαναφέρει με ιδιαίτερα σοβαρό τρόπο στη δημόσια συζήτηση ζητήματα που η ΠΟΓΕΔΥ έχει ήδη αναδείξει θεσμικά εδώ και μήνες, σχετικά με:</w:t>
      </w:r>
    </w:p>
    <w:p w14:paraId="3312AF46" w14:textId="77777777" w:rsidR="00687369" w:rsidRPr="00687369" w:rsidRDefault="00687369" w:rsidP="004C0C85">
      <w:pPr>
        <w:numPr>
          <w:ilvl w:val="0"/>
          <w:numId w:val="1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διαχείριση των οικονομικών πόρων του Ταμείου, </w:t>
      </w:r>
    </w:p>
    <w:p w14:paraId="6EDACE3E" w14:textId="77777777" w:rsidR="00687369" w:rsidRPr="00687369" w:rsidRDefault="00687369" w:rsidP="004C0C85">
      <w:pPr>
        <w:numPr>
          <w:ilvl w:val="0"/>
          <w:numId w:val="1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εφαρμογή της αρχής της ανταποδοτικότητας, </w:t>
      </w:r>
    </w:p>
    <w:p w14:paraId="5B271B1B" w14:textId="77777777" w:rsidR="00687369" w:rsidRPr="00687369" w:rsidRDefault="00687369" w:rsidP="004C0C85">
      <w:pPr>
        <w:numPr>
          <w:ilvl w:val="0"/>
          <w:numId w:val="1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διοικητική και λογιστική λειτουργία του φορέα, </w:t>
      </w:r>
    </w:p>
    <w:p w14:paraId="0647BAF2" w14:textId="77777777" w:rsidR="00687369" w:rsidRPr="00687369" w:rsidRDefault="00687369" w:rsidP="004C0C85">
      <w:pPr>
        <w:numPr>
          <w:ilvl w:val="0"/>
          <w:numId w:val="1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καθώς και τη συνολική θεσμική εποπτεία του. </w:t>
      </w:r>
    </w:p>
    <w:p w14:paraId="08DB8B1E" w14:textId="77777777" w:rsidR="00687369" w:rsidRPr="00687369" w:rsidRDefault="00687369" w:rsidP="004C0C85">
      <w:p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ΠΟΓΕΔΥ είχε ήδη επισημάνει ότι οι πόροι που εισπράττονται για επίσημους ελέγχους, σύμφωνα με τον Κανονισμό (ΕΕ) 2017/625 και την ισχύουσα εθνική νομοθεσία, οφείλουν να επιστρέφουν ανταποδοτικά στις γεωτεχνικές υπηρεσίες που στηρίζουν καθημερινά το έργο των ελέγχων και την ασφάλεια της </w:t>
      </w:r>
      <w:proofErr w:type="spellStart"/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>αγροδιατροφικής</w:t>
      </w:r>
      <w:proofErr w:type="spellEnd"/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αλυσίδας.</w:t>
      </w:r>
    </w:p>
    <w:p w14:paraId="6974B006" w14:textId="77777777" w:rsidR="00687369" w:rsidRPr="008842C1" w:rsidRDefault="00687369" w:rsidP="004C0C85">
      <w:p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842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Αντί αυτού, παραμένουν εύλογα και σοβαρά ερωτήματα ως προς:</w:t>
      </w:r>
    </w:p>
    <w:p w14:paraId="3C91C3E0" w14:textId="77777777" w:rsidR="00687369" w:rsidRPr="00687369" w:rsidRDefault="00687369" w:rsidP="004C0C85">
      <w:pPr>
        <w:numPr>
          <w:ilvl w:val="0"/>
          <w:numId w:val="2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συνολική οικονομική και περιουσιακή εικόνα του Ταμείου, </w:t>
      </w:r>
    </w:p>
    <w:p w14:paraId="3F143F38" w14:textId="77777777" w:rsidR="00687369" w:rsidRPr="00687369" w:rsidRDefault="00687369" w:rsidP="004C0C85">
      <w:pPr>
        <w:numPr>
          <w:ilvl w:val="0"/>
          <w:numId w:val="2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πλήρη και αξιόπιστη καταγραφή παγίων και περιουσιακών στοιχείων, </w:t>
      </w:r>
    </w:p>
    <w:p w14:paraId="06CA0ED4" w14:textId="77777777" w:rsidR="00687369" w:rsidRPr="00687369" w:rsidRDefault="00687369" w:rsidP="004C0C85">
      <w:pPr>
        <w:numPr>
          <w:ilvl w:val="0"/>
          <w:numId w:val="2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λειτουργία επαρκών μηχανισμών εσωτερικού ελέγχου, </w:t>
      </w:r>
    </w:p>
    <w:p w14:paraId="10A7996F" w14:textId="77777777" w:rsidR="00687369" w:rsidRPr="00687369" w:rsidRDefault="00687369" w:rsidP="004C0C85">
      <w:pPr>
        <w:numPr>
          <w:ilvl w:val="0"/>
          <w:numId w:val="2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εφαρμογή σύγχρονων λογιστικών και δημοσιονομικών διαδικασιών, </w:t>
      </w:r>
    </w:p>
    <w:p w14:paraId="08B5F691" w14:textId="77777777" w:rsidR="00687369" w:rsidRPr="00687369" w:rsidRDefault="00687369" w:rsidP="004C0C85">
      <w:pPr>
        <w:numPr>
          <w:ilvl w:val="0"/>
          <w:numId w:val="2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καθώς και τη διάθεση σημαντικών οικονομικών πόρων που θα έπρεπε να ενισχύουν άμεσα τις δημόσιες γεωτεχνικές υπηρεσίες. </w:t>
      </w:r>
    </w:p>
    <w:p w14:paraId="47C0D7D7" w14:textId="77777777" w:rsidR="00687369" w:rsidRPr="00687369" w:rsidRDefault="00687369" w:rsidP="004C0C85">
      <w:p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2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Παράλληλα, δημιουργούνται σοβαρά ερωτήματα:</w:t>
      </w:r>
    </w:p>
    <w:p w14:paraId="4C2531AA" w14:textId="77777777" w:rsidR="00687369" w:rsidRPr="00687369" w:rsidRDefault="00687369" w:rsidP="004C0C85">
      <w:pPr>
        <w:numPr>
          <w:ilvl w:val="0"/>
          <w:numId w:val="3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Γιατί δεν έχει διασφαλιστεί μέχρι σήμερα πλήρης εκσυγχρονισμός της οικονομικής λειτουργίας του φορέα; </w:t>
      </w:r>
    </w:p>
    <w:p w14:paraId="49EF2970" w14:textId="77777777" w:rsidR="00687369" w:rsidRPr="00687369" w:rsidRDefault="00687369" w:rsidP="004C0C85">
      <w:pPr>
        <w:numPr>
          <w:ilvl w:val="0"/>
          <w:numId w:val="3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Υπάρχει πλήρης αποτύπωση της κινητής και ακίνητης περιουσίας του Ταμείου; </w:t>
      </w:r>
    </w:p>
    <w:p w14:paraId="77158FFE" w14:textId="77777777" w:rsidR="00687369" w:rsidRPr="00687369" w:rsidRDefault="00687369" w:rsidP="004C0C85">
      <w:pPr>
        <w:numPr>
          <w:ilvl w:val="0"/>
          <w:numId w:val="3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Έχουν διασφαλιστεί επαρκείς μηχανισμοί διαφάνειας, ελέγχου και λογοδοσίας; </w:t>
      </w:r>
    </w:p>
    <w:p w14:paraId="1141E91B" w14:textId="77777777" w:rsidR="00687369" w:rsidRPr="00687369" w:rsidRDefault="00687369" w:rsidP="004C0C85">
      <w:pPr>
        <w:numPr>
          <w:ilvl w:val="0"/>
          <w:numId w:val="3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ποιους λόγους δεν αποδίδονται πλήρως οι ανταποδοτικοί πόροι στις υπηρεσίες που υλοποιούν το έργο των επίσημων ελέγχων; </w:t>
      </w:r>
    </w:p>
    <w:p w14:paraId="28985E97" w14:textId="77777777" w:rsidR="00687369" w:rsidRPr="008842C1" w:rsidRDefault="00687369" w:rsidP="004C0C85">
      <w:p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842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Η ΠΟΓΕΔΥ καλεί </w:t>
      </w:r>
      <w:r w:rsidR="008842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ΕΠΙΤΕΛΟΥΣ </w:t>
      </w:r>
      <w:r w:rsidRPr="008842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την πολιτική ηγεσία του </w:t>
      </w:r>
      <w:proofErr w:type="spellStart"/>
      <w:r w:rsidRPr="008842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ΥπΑΑΤ</w:t>
      </w:r>
      <w:proofErr w:type="spellEnd"/>
      <w:r w:rsidRPr="008842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να προχωρήσει άμεσα:</w:t>
      </w:r>
    </w:p>
    <w:p w14:paraId="7871A004" w14:textId="77777777" w:rsidR="00687369" w:rsidRPr="00687369" w:rsidRDefault="00687369" w:rsidP="004C0C85">
      <w:pPr>
        <w:numPr>
          <w:ilvl w:val="0"/>
          <w:numId w:val="4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πλήρη απογραφή και σαφή οικονομική αποτύπωση της κατάστασης του Ταμείου, </w:t>
      </w:r>
    </w:p>
    <w:p w14:paraId="3A14BF80" w14:textId="77777777" w:rsidR="00687369" w:rsidRPr="00687369" w:rsidRDefault="00687369" w:rsidP="004C0C85">
      <w:pPr>
        <w:numPr>
          <w:ilvl w:val="0"/>
          <w:numId w:val="4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σε εφαρμογή σύγχρονου και πλήρως ελεγχόμενου λογιστικού και διαχειριστικού πλαισίου, </w:t>
      </w:r>
    </w:p>
    <w:p w14:paraId="490369B1" w14:textId="77777777" w:rsidR="00687369" w:rsidRPr="00687369" w:rsidRDefault="00687369" w:rsidP="004C0C85">
      <w:pPr>
        <w:numPr>
          <w:ilvl w:val="0"/>
          <w:numId w:val="4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ουσιαστική ενίσχυση των μηχανισμών εσωτερικού και εξωτερικού ελέγχου, </w:t>
      </w:r>
    </w:p>
    <w:p w14:paraId="22FA7D20" w14:textId="77777777" w:rsidR="00687369" w:rsidRPr="00687369" w:rsidRDefault="00687369" w:rsidP="004C0C85">
      <w:pPr>
        <w:numPr>
          <w:ilvl w:val="0"/>
          <w:numId w:val="4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κυρίως στην πλήρη διασφάλιση της ανταποδοτικότητας των πόρων υπέρ των γεωτεχνικών υπηρεσιών, όπως προβλέπει η ευρωπαϊκή και εθνική νομοθεσία. </w:t>
      </w:r>
    </w:p>
    <w:p w14:paraId="7E9EF596" w14:textId="77777777" w:rsidR="00687369" w:rsidRPr="008842C1" w:rsidRDefault="00687369" w:rsidP="004C0C85">
      <w:p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842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 Ομοσπονδία ξεκαθαρίζει ότι το ζήτημα αφορά πρωτίστως:</w:t>
      </w:r>
    </w:p>
    <w:p w14:paraId="334067D7" w14:textId="77777777" w:rsidR="00687369" w:rsidRPr="00687369" w:rsidRDefault="00687369" w:rsidP="004C0C85">
      <w:pPr>
        <w:numPr>
          <w:ilvl w:val="0"/>
          <w:numId w:val="5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διαφάνεια στη διαχείριση δημόσιων πόρων, </w:t>
      </w:r>
    </w:p>
    <w:p w14:paraId="48DC6FC2" w14:textId="77777777" w:rsidR="00687369" w:rsidRPr="00687369" w:rsidRDefault="00687369" w:rsidP="004C0C85">
      <w:pPr>
        <w:numPr>
          <w:ilvl w:val="0"/>
          <w:numId w:val="5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χρηστή διοίκηση, </w:t>
      </w:r>
    </w:p>
    <w:p w14:paraId="4BB83859" w14:textId="77777777" w:rsidR="00687369" w:rsidRPr="00687369" w:rsidRDefault="00687369" w:rsidP="004C0C85">
      <w:pPr>
        <w:numPr>
          <w:ilvl w:val="0"/>
          <w:numId w:val="5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εύρυθμη λειτουργία των ελεγκτικών μηχανισμών, </w:t>
      </w:r>
    </w:p>
    <w:p w14:paraId="7556841F" w14:textId="77777777" w:rsidR="00687369" w:rsidRPr="00687369" w:rsidRDefault="00687369" w:rsidP="004C0C85">
      <w:pPr>
        <w:numPr>
          <w:ilvl w:val="0"/>
          <w:numId w:val="5"/>
        </w:num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2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και τελικά την προστασία του δημοσίου συμφέροντος και της αξιοπιστίας της δημόσιας διοίκησης</w:t>
      </w: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131798A5" w14:textId="77777777" w:rsidR="00687369" w:rsidRPr="00687369" w:rsidRDefault="00687369" w:rsidP="00C72438">
      <w:pPr>
        <w:spacing w:after="0" w:line="276" w:lineRule="auto"/>
        <w:ind w:left="-567" w:right="-62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ΠΟΓΕΔΥ </w:t>
      </w:r>
      <w:r w:rsidR="00C7243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– </w:t>
      </w:r>
      <w:r w:rsidR="00C72438" w:rsidRPr="00C7243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αναμένοντας την πρόσκληση του κυρίου Υπουργού για την συζήτηση </w:t>
      </w:r>
      <w:r w:rsidR="00C72438" w:rsidRPr="00C72438">
        <w:rPr>
          <w:rFonts w:ascii="Times New Roman" w:hAnsi="Times New Roman" w:cs="Times New Roman"/>
          <w:sz w:val="24"/>
          <w:szCs w:val="24"/>
        </w:rPr>
        <w:t>επί του ορθού θεσμικού πλαισίου διαχείρισης, αντίστοιχου με εκείνο του «Πράσινου Ταμείου»</w:t>
      </w:r>
      <w:r w:rsidR="00C72438">
        <w:rPr>
          <w:rFonts w:ascii="Times New Roman" w:hAnsi="Times New Roman" w:cs="Times New Roman"/>
          <w:sz w:val="24"/>
          <w:szCs w:val="24"/>
        </w:rPr>
        <w:t xml:space="preserve"> </w:t>
      </w:r>
      <w:r w:rsidR="00C72438" w:rsidRPr="00C72438">
        <w:rPr>
          <w:rFonts w:ascii="Times New Roman" w:hAnsi="Times New Roman" w:cs="Times New Roman"/>
          <w:sz w:val="24"/>
          <w:szCs w:val="24"/>
        </w:rPr>
        <w:t>-</w:t>
      </w:r>
      <w:r w:rsidR="00C72438">
        <w:rPr>
          <w:sz w:val="28"/>
          <w:szCs w:val="28"/>
        </w:rPr>
        <w:t xml:space="preserve">  </w:t>
      </w: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>θα συνεχίσει να παρεμβαίνει θεσμικά, υπεύθυνα</w:t>
      </w:r>
      <w:r w:rsidR="008842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συναινετικά </w:t>
      </w:r>
      <w:r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τεκμηριωμένα, μέχρι να δοθούν σαφείς απαντήσεις και να διασφαλιστεί πλήρως η νομιμότητα, η διαφάνεια και η ορθή αξιοποίηση των πόρων του Ταμείου Γεωργίας και Κτηνοτροφίας</w:t>
      </w:r>
      <w:r w:rsidR="008842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8842C1" w:rsidRPr="00C724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αλλά ταυτόχρονα προειδοποιεί πως τα περιθώρια στενεύουν και </w:t>
      </w:r>
      <w:r w:rsidR="00BB185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΄΄</w:t>
      </w:r>
      <w:r w:rsidR="008842C1" w:rsidRPr="00C724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οι εισαγγελείς όλο και πλησιάζουν</w:t>
      </w:r>
      <w:r w:rsidR="00BB185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΄΄</w:t>
      </w:r>
      <w:r w:rsidR="008842C1" w:rsidRPr="00C724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</w:p>
    <w:p w14:paraId="0B479D54" w14:textId="77777777" w:rsidR="008842C1" w:rsidRDefault="008842C1" w:rsidP="00687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56B5982" w14:textId="77777777" w:rsidR="008842C1" w:rsidRDefault="008842C1" w:rsidP="00687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</w:t>
      </w:r>
      <w:r w:rsidR="00687369" w:rsidRPr="00687369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 Δ.Σ.</w:t>
      </w:r>
    </w:p>
    <w:p w14:paraId="1255C0B2" w14:textId="77777777" w:rsidR="008842C1" w:rsidRDefault="008842C1" w:rsidP="00687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</w:t>
      </w:r>
      <w:r w:rsidRPr="00F16A68">
        <w:rPr>
          <w:noProof/>
          <w:sz w:val="24"/>
          <w:szCs w:val="24"/>
          <w:lang w:eastAsia="el-GR"/>
        </w:rPr>
        <w:drawing>
          <wp:inline distT="0" distB="0" distL="0" distR="0" wp14:anchorId="644F7F47" wp14:editId="58D2A9C6">
            <wp:extent cx="1393980" cy="1161415"/>
            <wp:effectExtent l="0" t="0" r="0" b="63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753" cy="119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E38CA" w14:textId="77777777" w:rsidR="008842C1" w:rsidRPr="00687369" w:rsidRDefault="008842C1" w:rsidP="00687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</w:t>
      </w:r>
    </w:p>
    <w:p w14:paraId="48658C34" w14:textId="77777777" w:rsidR="00687369" w:rsidRDefault="00687369"/>
    <w:sectPr w:rsidR="00687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0F9"/>
    <w:multiLevelType w:val="multilevel"/>
    <w:tmpl w:val="AB6A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0400E"/>
    <w:multiLevelType w:val="multilevel"/>
    <w:tmpl w:val="2B28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C399A"/>
    <w:multiLevelType w:val="multilevel"/>
    <w:tmpl w:val="14D2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F27F8"/>
    <w:multiLevelType w:val="multilevel"/>
    <w:tmpl w:val="2B3E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E5D11"/>
    <w:multiLevelType w:val="multilevel"/>
    <w:tmpl w:val="5026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625911">
    <w:abstractNumId w:val="1"/>
  </w:num>
  <w:num w:numId="2" w16cid:durableId="1509949867">
    <w:abstractNumId w:val="0"/>
  </w:num>
  <w:num w:numId="3" w16cid:durableId="2106612981">
    <w:abstractNumId w:val="4"/>
  </w:num>
  <w:num w:numId="4" w16cid:durableId="1525093420">
    <w:abstractNumId w:val="3"/>
  </w:num>
  <w:num w:numId="5" w16cid:durableId="19934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69"/>
    <w:rsid w:val="0034414A"/>
    <w:rsid w:val="004A6A2F"/>
    <w:rsid w:val="004C0C85"/>
    <w:rsid w:val="00687369"/>
    <w:rsid w:val="007C09DC"/>
    <w:rsid w:val="008842C1"/>
    <w:rsid w:val="00A770D6"/>
    <w:rsid w:val="00BB1858"/>
    <w:rsid w:val="00C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327F"/>
  <w15:chartTrackingRefBased/>
  <w15:docId w15:val="{0983C254-39CB-4828-9466-EBFC389C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qFormat/>
    <w:rsid w:val="004C0C85"/>
    <w:pPr>
      <w:keepNext/>
      <w:suppressAutoHyphens/>
      <w:spacing w:after="0" w:line="240" w:lineRule="auto"/>
      <w:ind w:right="34"/>
      <w:jc w:val="center"/>
      <w:outlineLvl w:val="0"/>
    </w:pPr>
    <w:rPr>
      <w:rFonts w:ascii="Times New Roman" w:eastAsia="Times New Roman" w:hAnsi="Times New Roman" w:cs="Times New Roman"/>
      <w:b/>
      <w:color w:val="00000A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4C0C85"/>
    <w:rPr>
      <w:rFonts w:ascii="Times New Roman" w:eastAsia="Times New Roman" w:hAnsi="Times New Roman" w:cs="Times New Roman"/>
      <w:b/>
      <w:color w:val="00000A"/>
      <w:sz w:val="26"/>
      <w:szCs w:val="20"/>
      <w:lang w:eastAsia="el-GR"/>
    </w:rPr>
  </w:style>
  <w:style w:type="table" w:styleId="a3">
    <w:name w:val="Table Grid"/>
    <w:basedOn w:val="a1"/>
    <w:uiPriority w:val="59"/>
    <w:rsid w:val="004C0C85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4C0C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7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egdy.gr/%cf%84%ce%ad%ce%bb%ce%bf%cf%82-%cf%83%cf%84%ce%b7%ce%bd-%ce%b1%ce%b4%ce%b9%ce%b1%cf%86%ce%ac%ce%bd%ce%b5%ce%b9%ce%b1-%cf%83%cf%84%ce%bf-%cf%84%ce%b3%ce%ba-%ce%b6%ce%b7%cf%84%ce%ac-%ce%b7-%cf%80%ce%b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gdy.gr/%ce%b5%cf%80%ce%b9%cf%83%ce%b7%ce%bc%ce%ac%ce%bd%cf%83%ce%b5%ce%b9%cf%82-%cf%80%ce%bf%ce%b3%ce%b5%ce%b4%cf%85-%cf%83%cf%87%ce%b5%cf%84%ce%b9%ce%ba%ce%ac-%ce%bc%ce%b5-%cf%84%ce%b7-%ce%b4%ce%b9%ce%b1/" TargetMode="External"/><Relationship Id="rId5" Type="http://schemas.openxmlformats.org/officeDocument/2006/relationships/hyperlink" Target="mailto:ax2u128@minagric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KOKKINIS</dc:creator>
  <cp:keywords/>
  <dc:description/>
  <cp:lastModifiedBy>User</cp:lastModifiedBy>
  <cp:revision>3</cp:revision>
  <dcterms:created xsi:type="dcterms:W3CDTF">2026-05-23T09:47:00Z</dcterms:created>
  <dcterms:modified xsi:type="dcterms:W3CDTF">2026-05-23T09:52:00Z</dcterms:modified>
</cp:coreProperties>
</file>