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499C4" w14:textId="77777777" w:rsidR="0050093C" w:rsidRPr="0050093C" w:rsidRDefault="0050093C">
      <w:pPr>
        <w:rPr>
          <w:lang w:val="en-US"/>
        </w:rPr>
      </w:pPr>
      <w:r>
        <w:rPr>
          <w:lang w:val="en-US"/>
        </w:rPr>
        <w:t>.</w:t>
      </w:r>
    </w:p>
    <w:tbl>
      <w:tblPr>
        <w:tblW w:w="9923" w:type="dxa"/>
        <w:jc w:val="center"/>
        <w:tblLayout w:type="fixed"/>
        <w:tblLook w:val="0000" w:firstRow="0" w:lastRow="0" w:firstColumn="0" w:lastColumn="0" w:noHBand="0" w:noVBand="0"/>
      </w:tblPr>
      <w:tblGrid>
        <w:gridCol w:w="9923"/>
      </w:tblGrid>
      <w:tr w:rsidR="00C9076F" w14:paraId="61F66FBA" w14:textId="77777777" w:rsidTr="00773BA0">
        <w:trPr>
          <w:jc w:val="center"/>
        </w:trPr>
        <w:tc>
          <w:tcPr>
            <w:tcW w:w="9923" w:type="dxa"/>
            <w:tcBorders>
              <w:top w:val="single" w:sz="4" w:space="0" w:color="000000"/>
              <w:left w:val="single" w:sz="4" w:space="0" w:color="000000"/>
              <w:bottom w:val="single" w:sz="4" w:space="0" w:color="000000"/>
              <w:right w:val="single" w:sz="4" w:space="0" w:color="000000"/>
            </w:tcBorders>
          </w:tcPr>
          <w:p w14:paraId="32BBB996" w14:textId="77777777" w:rsidR="00C9076F" w:rsidRPr="009E18EC" w:rsidRDefault="00C9076F" w:rsidP="003314B3">
            <w:pPr>
              <w:pStyle w:val="1"/>
              <w:spacing w:after="100"/>
              <w:rPr>
                <w:bCs/>
                <w:sz w:val="24"/>
              </w:rPr>
            </w:pPr>
            <w:r w:rsidRPr="009E18EC">
              <w:rPr>
                <w:bCs/>
                <w:sz w:val="24"/>
              </w:rPr>
              <w:t>ΠΑΝΕΛΛΗΝΙΑ ΟΜΟΣΠΟΝΔΙΑ ΓΕΩΤΕΧΝΙΚΩΝ ΔΗΜΟΣΙΩΝ ΥΠΑΛΛΗΛΩΝ</w:t>
            </w:r>
          </w:p>
          <w:p w14:paraId="66CB90F9" w14:textId="77777777" w:rsidR="00C9076F" w:rsidRPr="009E18EC" w:rsidRDefault="00C9076F" w:rsidP="003314B3">
            <w:pPr>
              <w:spacing w:after="100" w:line="240" w:lineRule="exact"/>
              <w:jc w:val="center"/>
              <w:rPr>
                <w:rFonts w:ascii="Times New Roman" w:hAnsi="Times New Roman"/>
                <w:b/>
                <w:sz w:val="24"/>
                <w:szCs w:val="24"/>
              </w:rPr>
            </w:pPr>
            <w:r w:rsidRPr="009E18EC">
              <w:rPr>
                <w:rFonts w:ascii="Times New Roman" w:hAnsi="Times New Roman"/>
                <w:b/>
                <w:sz w:val="24"/>
                <w:szCs w:val="24"/>
              </w:rPr>
              <w:t>(ΠΟΓΕΔΥ)</w:t>
            </w:r>
          </w:p>
          <w:p w14:paraId="2A85865C" w14:textId="77777777" w:rsidR="00C9076F" w:rsidRPr="00AB599F" w:rsidRDefault="00C9076F" w:rsidP="003314B3">
            <w:pPr>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14:paraId="5F805275" w14:textId="77777777" w:rsidR="00C9076F" w:rsidRPr="00AB599F" w:rsidRDefault="00C9076F" w:rsidP="003314B3">
            <w:pPr>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14:paraId="58E846F1" w14:textId="77777777" w:rsidR="00C9076F" w:rsidRPr="00490F12" w:rsidRDefault="00C9076F" w:rsidP="00835764">
            <w:pPr>
              <w:spacing w:after="100" w:line="240" w:lineRule="exact"/>
              <w:ind w:right="181"/>
              <w:jc w:val="center"/>
              <w:rPr>
                <w:rFonts w:ascii="Times New Roman" w:hAnsi="Times New Roman"/>
                <w:sz w:val="24"/>
                <w:szCs w:val="24"/>
              </w:rPr>
            </w:pPr>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r w:rsidRPr="00AB599F">
              <w:rPr>
                <w:rFonts w:ascii="Times New Roman" w:hAnsi="Times New Roman"/>
                <w:bCs/>
                <w:sz w:val="24"/>
                <w:szCs w:val="24"/>
                <w:lang w:val="en-US"/>
              </w:rPr>
              <w:t>minagric</w:t>
            </w:r>
            <w:r w:rsidR="007204C9">
              <w:rPr>
                <w:rFonts w:ascii="Times New Roman" w:hAnsi="Times New Roman"/>
                <w:bCs/>
                <w:sz w:val="24"/>
                <w:szCs w:val="24"/>
              </w:rPr>
              <w:t>.</w:t>
            </w:r>
            <w:r w:rsidRPr="00AB599F">
              <w:rPr>
                <w:rFonts w:ascii="Times New Roman" w:hAnsi="Times New Roman"/>
                <w:bCs/>
                <w:sz w:val="24"/>
                <w:szCs w:val="24"/>
                <w:lang w:val="en-US"/>
              </w:rPr>
              <w:t>gr</w:t>
            </w:r>
          </w:p>
        </w:tc>
      </w:tr>
    </w:tbl>
    <w:p w14:paraId="46292D27" w14:textId="77777777" w:rsidR="008278C0" w:rsidRPr="00761476" w:rsidRDefault="008278C0" w:rsidP="008278C0">
      <w:pPr>
        <w:spacing w:line="240" w:lineRule="auto"/>
        <w:ind w:left="5760"/>
        <w:jc w:val="right"/>
        <w:rPr>
          <w:rFonts w:ascii="Times New Roman" w:hAnsi="Times New Roman"/>
          <w:b/>
          <w:bCs/>
          <w:sz w:val="6"/>
          <w:szCs w:val="6"/>
        </w:rPr>
      </w:pPr>
    </w:p>
    <w:p w14:paraId="34B6114D" w14:textId="77777777" w:rsidR="00093D4D" w:rsidRDefault="007759AC" w:rsidP="00835764">
      <w:pPr>
        <w:spacing w:line="240" w:lineRule="auto"/>
        <w:ind w:left="5760" w:right="425"/>
        <w:jc w:val="right"/>
        <w:rPr>
          <w:rFonts w:ascii="Times New Roman" w:hAnsi="Times New Roman"/>
          <w:b/>
          <w:bCs/>
          <w:sz w:val="28"/>
          <w:szCs w:val="28"/>
        </w:rPr>
      </w:pPr>
      <w:r w:rsidRPr="00A73A7C">
        <w:rPr>
          <w:rFonts w:ascii="Times New Roman" w:hAnsi="Times New Roman"/>
          <w:b/>
          <w:bCs/>
          <w:sz w:val="28"/>
          <w:szCs w:val="28"/>
        </w:rPr>
        <w:t xml:space="preserve">Αθήνα </w:t>
      </w:r>
      <w:r w:rsidR="00761476">
        <w:rPr>
          <w:rFonts w:ascii="Times New Roman" w:hAnsi="Times New Roman"/>
          <w:b/>
          <w:bCs/>
          <w:sz w:val="28"/>
          <w:szCs w:val="28"/>
        </w:rPr>
        <w:t>1</w:t>
      </w:r>
      <w:r w:rsidR="00761476" w:rsidRPr="0050093C">
        <w:rPr>
          <w:rFonts w:ascii="Times New Roman" w:hAnsi="Times New Roman"/>
          <w:b/>
          <w:bCs/>
          <w:sz w:val="28"/>
          <w:szCs w:val="28"/>
        </w:rPr>
        <w:t>9</w:t>
      </w:r>
      <w:r w:rsidR="00FF1E56">
        <w:rPr>
          <w:rFonts w:ascii="Times New Roman" w:hAnsi="Times New Roman"/>
          <w:b/>
          <w:bCs/>
          <w:sz w:val="28"/>
          <w:szCs w:val="28"/>
        </w:rPr>
        <w:t>-5-2026</w:t>
      </w:r>
    </w:p>
    <w:p w14:paraId="47C29289" w14:textId="77777777" w:rsidR="000C7053" w:rsidRDefault="001F626C" w:rsidP="000C7053">
      <w:pPr>
        <w:ind w:left="709" w:hanging="709"/>
        <w:jc w:val="center"/>
        <w:rPr>
          <w:rFonts w:ascii="Times New Roman" w:hAnsi="Times New Roman"/>
          <w:b/>
          <w:bCs/>
          <w:sz w:val="28"/>
          <w:szCs w:val="28"/>
        </w:rPr>
      </w:pPr>
      <w:r w:rsidRPr="00E026ED">
        <w:rPr>
          <w:rFonts w:ascii="Times New Roman" w:hAnsi="Times New Roman"/>
          <w:b/>
          <w:bCs/>
          <w:sz w:val="28"/>
          <w:szCs w:val="28"/>
        </w:rPr>
        <w:t>ΔΕΛΤΙΟ  ΤΥΠΟΥ</w:t>
      </w:r>
    </w:p>
    <w:p w14:paraId="0E7C6A43" w14:textId="77777777" w:rsidR="00761476" w:rsidRPr="00761476" w:rsidRDefault="00761476" w:rsidP="00761476">
      <w:pPr>
        <w:spacing w:after="150" w:line="240" w:lineRule="auto"/>
        <w:ind w:left="-142"/>
        <w:jc w:val="both"/>
        <w:rPr>
          <w:rFonts w:ascii="Times New Roman" w:eastAsia="Times New Roman" w:hAnsi="Times New Roman"/>
          <w:sz w:val="28"/>
          <w:szCs w:val="28"/>
          <w:lang w:eastAsia="el-GR"/>
        </w:rPr>
      </w:pPr>
      <w:r w:rsidRPr="00761476">
        <w:rPr>
          <w:rFonts w:ascii="Times New Roman" w:eastAsia="Times New Roman" w:hAnsi="Times New Roman"/>
          <w:b/>
          <w:bCs/>
          <w:sz w:val="28"/>
          <w:szCs w:val="28"/>
          <w:lang w:eastAsia="el-GR"/>
        </w:rPr>
        <w:t>Πλήρης δικαίωση της ΠΟΓΕΔΥ μετά τις συλλήψεις των τραμπούκων στην Κρήτη – Τέρμα η ασυλία στο οργανωμένο έγκλημα που απειλεί τους ελεγκτές</w:t>
      </w:r>
    </w:p>
    <w:p w14:paraId="560553AC" w14:textId="77777777" w:rsidR="00761476" w:rsidRPr="00761476" w:rsidRDefault="00761476" w:rsidP="00761476">
      <w:pPr>
        <w:spacing w:after="40" w:line="240" w:lineRule="auto"/>
        <w:ind w:left="-142"/>
        <w:jc w:val="both"/>
        <w:rPr>
          <w:rFonts w:ascii="Times New Roman" w:eastAsia="Times New Roman" w:hAnsi="Times New Roman"/>
          <w:sz w:val="28"/>
          <w:szCs w:val="28"/>
          <w:lang w:eastAsia="el-GR"/>
        </w:rPr>
      </w:pPr>
      <w:r w:rsidRPr="00761476">
        <w:rPr>
          <w:rFonts w:ascii="Times New Roman" w:eastAsia="Times New Roman" w:hAnsi="Times New Roman"/>
          <w:sz w:val="28"/>
          <w:szCs w:val="28"/>
          <w:lang w:eastAsia="el-GR"/>
        </w:rPr>
        <w:t xml:space="preserve">Η Πανελλήνια Ομοσπονδία Γεωτεχνικών Δημοσίων Υπαλλήλων (ΠΟΓΕΔΥ) εκφράζει την απόλυτη ικανοποίησή της για τις πρόσφατες </w:t>
      </w:r>
      <w:r w:rsidRPr="00761476">
        <w:rPr>
          <w:rFonts w:ascii="Times New Roman" w:eastAsia="Times New Roman" w:hAnsi="Times New Roman"/>
          <w:b/>
          <w:bCs/>
          <w:sz w:val="28"/>
          <w:szCs w:val="28"/>
          <w:lang w:eastAsia="el-GR"/>
        </w:rPr>
        <w:t>συλλήψεις των μελών της εγκληματικής οργάνωσης στην Κρήτη</w:t>
      </w:r>
      <w:r w:rsidRPr="00761476">
        <w:rPr>
          <w:rFonts w:ascii="Times New Roman" w:eastAsia="Times New Roman" w:hAnsi="Times New Roman"/>
          <w:sz w:val="28"/>
          <w:szCs w:val="28"/>
          <w:lang w:eastAsia="el-GR"/>
        </w:rPr>
        <w:t>, οι οποίοι στο παρελθόν είχαν προπηλακίσει, απειλήσει και τρομοκρατήσει κρατικούς ελεγκτές κατά την εκτέλεση του καθήκοντός τους.</w:t>
      </w:r>
    </w:p>
    <w:p w14:paraId="2567C454" w14:textId="77777777" w:rsidR="00761476" w:rsidRPr="00761476" w:rsidRDefault="00761476" w:rsidP="00761476">
      <w:pPr>
        <w:spacing w:after="40" w:line="240" w:lineRule="auto"/>
        <w:ind w:left="-142"/>
        <w:jc w:val="both"/>
        <w:rPr>
          <w:rFonts w:ascii="Times New Roman" w:eastAsia="Times New Roman" w:hAnsi="Times New Roman"/>
          <w:sz w:val="28"/>
          <w:szCs w:val="28"/>
          <w:lang w:eastAsia="el-GR"/>
        </w:rPr>
      </w:pPr>
      <w:r w:rsidRPr="00761476">
        <w:rPr>
          <w:rFonts w:ascii="Times New Roman" w:eastAsia="Times New Roman" w:hAnsi="Times New Roman"/>
          <w:sz w:val="28"/>
          <w:szCs w:val="28"/>
          <w:lang w:eastAsia="el-GR"/>
        </w:rPr>
        <w:t xml:space="preserve">Οι εξελίξεις αυτές αποτελούν μια </w:t>
      </w:r>
      <w:r w:rsidRPr="00761476">
        <w:rPr>
          <w:rFonts w:ascii="Times New Roman" w:eastAsia="Times New Roman" w:hAnsi="Times New Roman"/>
          <w:b/>
          <w:bCs/>
          <w:sz w:val="28"/>
          <w:szCs w:val="28"/>
          <w:lang w:eastAsia="el-GR"/>
        </w:rPr>
        <w:t>ηχηρή δικαίωση</w:t>
      </w:r>
      <w:r w:rsidRPr="00761476">
        <w:rPr>
          <w:rFonts w:ascii="Times New Roman" w:eastAsia="Times New Roman" w:hAnsi="Times New Roman"/>
          <w:sz w:val="28"/>
          <w:szCs w:val="28"/>
          <w:lang w:eastAsia="el-GR"/>
        </w:rPr>
        <w:t xml:space="preserve"> για την Ομοσπονδία μας, η οποία είχε προειδοποιήσει έγκαιρα και προς πάσα κατεύθυνση ότι οι επιθέσεις κατά των γεωτεχνικών δεν ήταν μεμονωμένα περιστατικά «αγανακτισμένων», αλλά υποκινούμενες ενέργειες συνδεδεμένες με το οργανωμένο έγκλημα, τις αγροζημιές και τις παράνομες επιδοτήσεις.</w:t>
      </w:r>
    </w:p>
    <w:p w14:paraId="18E39200" w14:textId="77777777" w:rsidR="00761476" w:rsidRPr="00761476" w:rsidRDefault="00761476" w:rsidP="00761476">
      <w:pPr>
        <w:spacing w:after="40" w:line="240" w:lineRule="auto"/>
        <w:ind w:left="-142"/>
        <w:jc w:val="both"/>
        <w:rPr>
          <w:rFonts w:ascii="Times New Roman" w:eastAsia="Times New Roman" w:hAnsi="Times New Roman"/>
          <w:sz w:val="28"/>
          <w:szCs w:val="28"/>
          <w:lang w:eastAsia="el-GR"/>
        </w:rPr>
      </w:pPr>
      <w:r w:rsidRPr="00761476">
        <w:rPr>
          <w:rFonts w:ascii="Times New Roman" w:eastAsia="Times New Roman" w:hAnsi="Times New Roman"/>
          <w:sz w:val="28"/>
          <w:szCs w:val="28"/>
          <w:lang w:eastAsia="el-GR"/>
        </w:rPr>
        <w:t xml:space="preserve">Ως ΠΟΓΕΔΥ είχαμε διαμηνύσει σε όλους τους τόνους: </w:t>
      </w:r>
      <w:r w:rsidRPr="00761476">
        <w:rPr>
          <w:rFonts w:ascii="Times New Roman" w:eastAsia="Times New Roman" w:hAnsi="Times New Roman"/>
          <w:b/>
          <w:bCs/>
          <w:sz w:val="28"/>
          <w:szCs w:val="28"/>
          <w:lang w:eastAsia="el-GR"/>
        </w:rPr>
        <w:t>«Την επόμενη φορά που θα επιτεθούν σε συναδέλφους που κάνουν έλεγχο, θα απαντήσουμε δυναμικά»</w:t>
      </w:r>
      <w:r w:rsidRPr="00761476">
        <w:rPr>
          <w:rFonts w:ascii="Times New Roman" w:eastAsia="Times New Roman" w:hAnsi="Times New Roman"/>
          <w:sz w:val="28"/>
          <w:szCs w:val="28"/>
          <w:lang w:eastAsia="el-GR"/>
        </w:rPr>
        <w:t>. Σήμερα, η ελληνική δικαιοσύνη και οι διωκτικές αρχές (μέσω της Διεύθυνσης Αντιμετώπισης Οργανωμένου Εγκλήματος) επιβεβαιώνουν τη θέση μας, ξηλώνοντας το καθεστώς ιδιότυπης ομηρείας και ανομίας που επιχειρούσαν να επιβάλουν ορισμένοι τραμπούκοι στην κρητική ύπαιθρο.</w:t>
      </w:r>
    </w:p>
    <w:p w14:paraId="6D64C86A" w14:textId="77777777" w:rsidR="00761476" w:rsidRPr="00761476" w:rsidRDefault="00761476" w:rsidP="00761476">
      <w:pPr>
        <w:spacing w:after="40" w:line="240" w:lineRule="auto"/>
        <w:ind w:left="-142"/>
        <w:jc w:val="both"/>
        <w:rPr>
          <w:rFonts w:ascii="Times New Roman" w:eastAsia="Times New Roman" w:hAnsi="Times New Roman"/>
          <w:sz w:val="28"/>
          <w:szCs w:val="28"/>
          <w:lang w:eastAsia="el-GR"/>
        </w:rPr>
      </w:pPr>
      <w:r w:rsidRPr="00761476">
        <w:rPr>
          <w:rFonts w:ascii="Times New Roman" w:eastAsia="Times New Roman" w:hAnsi="Times New Roman"/>
          <w:sz w:val="28"/>
          <w:szCs w:val="28"/>
          <w:lang w:eastAsia="el-GR"/>
        </w:rPr>
        <w:t>Με αφορμή αυτή τη δικαίωση, ξεκαθαρίζουμε τα εξής:</w:t>
      </w:r>
    </w:p>
    <w:p w14:paraId="4E69701C" w14:textId="77777777" w:rsidR="00761476" w:rsidRPr="00761476" w:rsidRDefault="00761476" w:rsidP="00761476">
      <w:pPr>
        <w:numPr>
          <w:ilvl w:val="0"/>
          <w:numId w:val="16"/>
        </w:numPr>
        <w:spacing w:after="40" w:line="240" w:lineRule="auto"/>
        <w:ind w:left="567"/>
        <w:jc w:val="both"/>
        <w:rPr>
          <w:rFonts w:ascii="Times New Roman" w:eastAsia="Times New Roman" w:hAnsi="Times New Roman"/>
          <w:sz w:val="28"/>
          <w:szCs w:val="28"/>
          <w:lang w:eastAsia="el-GR"/>
        </w:rPr>
      </w:pPr>
      <w:r w:rsidRPr="00761476">
        <w:rPr>
          <w:rFonts w:ascii="Times New Roman" w:eastAsia="Times New Roman" w:hAnsi="Times New Roman"/>
          <w:b/>
          <w:bCs/>
          <w:sz w:val="28"/>
          <w:szCs w:val="28"/>
          <w:lang w:eastAsia="el-GR"/>
        </w:rPr>
        <w:t>Καμία ανοχή</w:t>
      </w:r>
      <w:r w:rsidRPr="00761476">
        <w:rPr>
          <w:rFonts w:ascii="Times New Roman" w:eastAsia="Times New Roman" w:hAnsi="Times New Roman"/>
          <w:sz w:val="28"/>
          <w:szCs w:val="28"/>
          <w:lang w:eastAsia="el-GR"/>
        </w:rPr>
        <w:t xml:space="preserve"> στον εκφοβισμό των δημόσιων λειτουργών.</w:t>
      </w:r>
    </w:p>
    <w:p w14:paraId="3DFEC7B3" w14:textId="77777777" w:rsidR="00761476" w:rsidRPr="00761476" w:rsidRDefault="00761476" w:rsidP="00761476">
      <w:pPr>
        <w:numPr>
          <w:ilvl w:val="0"/>
          <w:numId w:val="16"/>
        </w:numPr>
        <w:spacing w:after="40" w:line="240" w:lineRule="auto"/>
        <w:ind w:left="567"/>
        <w:jc w:val="both"/>
        <w:rPr>
          <w:rFonts w:ascii="Times New Roman" w:eastAsia="Times New Roman" w:hAnsi="Times New Roman"/>
          <w:sz w:val="28"/>
          <w:szCs w:val="28"/>
          <w:lang w:eastAsia="el-GR"/>
        </w:rPr>
      </w:pPr>
      <w:r w:rsidRPr="00761476">
        <w:rPr>
          <w:rFonts w:ascii="Times New Roman" w:eastAsia="Times New Roman" w:hAnsi="Times New Roman"/>
          <w:b/>
          <w:bCs/>
          <w:sz w:val="28"/>
          <w:szCs w:val="28"/>
          <w:lang w:eastAsia="el-GR"/>
        </w:rPr>
        <w:t>Αδιαπραγμάτευτη προστασία</w:t>
      </w:r>
      <w:r w:rsidRPr="00761476">
        <w:rPr>
          <w:rFonts w:ascii="Times New Roman" w:eastAsia="Times New Roman" w:hAnsi="Times New Roman"/>
          <w:sz w:val="28"/>
          <w:szCs w:val="28"/>
          <w:lang w:eastAsia="el-GR"/>
        </w:rPr>
        <w:t xml:space="preserve"> των συναδέλφων μας που διενεργούν ελέγχους στο πεδίο.</w:t>
      </w:r>
    </w:p>
    <w:p w14:paraId="723FFC96" w14:textId="77777777" w:rsidR="00761476" w:rsidRPr="00761476" w:rsidRDefault="00761476" w:rsidP="00761476">
      <w:pPr>
        <w:numPr>
          <w:ilvl w:val="0"/>
          <w:numId w:val="16"/>
        </w:numPr>
        <w:spacing w:after="40" w:line="240" w:lineRule="auto"/>
        <w:ind w:left="567"/>
        <w:jc w:val="both"/>
        <w:rPr>
          <w:rFonts w:ascii="Times New Roman" w:eastAsia="Times New Roman" w:hAnsi="Times New Roman"/>
          <w:sz w:val="28"/>
          <w:szCs w:val="28"/>
          <w:lang w:eastAsia="el-GR"/>
        </w:rPr>
      </w:pPr>
      <w:r w:rsidRPr="00761476">
        <w:rPr>
          <w:rFonts w:ascii="Times New Roman" w:eastAsia="Times New Roman" w:hAnsi="Times New Roman"/>
          <w:b/>
          <w:bCs/>
          <w:sz w:val="28"/>
          <w:szCs w:val="28"/>
          <w:lang w:eastAsia="el-GR"/>
        </w:rPr>
        <w:t>Συνέχιση των ελέγχων</w:t>
      </w:r>
      <w:r w:rsidRPr="00761476">
        <w:rPr>
          <w:rFonts w:ascii="Times New Roman" w:eastAsia="Times New Roman" w:hAnsi="Times New Roman"/>
          <w:sz w:val="28"/>
          <w:szCs w:val="28"/>
          <w:lang w:eastAsia="el-GR"/>
        </w:rPr>
        <w:t xml:space="preserve"> με ακόμα μεγαλύτερη ένταση για την περιφρούρηση του δημοσίου χρήματος.</w:t>
      </w:r>
    </w:p>
    <w:p w14:paraId="1BC9E92D" w14:textId="77777777" w:rsidR="00761476" w:rsidRPr="00761476" w:rsidRDefault="00761476" w:rsidP="00761476">
      <w:pPr>
        <w:numPr>
          <w:ilvl w:val="0"/>
          <w:numId w:val="16"/>
        </w:numPr>
        <w:spacing w:after="40" w:line="240" w:lineRule="auto"/>
        <w:ind w:left="567"/>
        <w:jc w:val="both"/>
        <w:rPr>
          <w:rFonts w:ascii="Times New Roman" w:eastAsia="Times New Roman" w:hAnsi="Times New Roman"/>
          <w:sz w:val="28"/>
          <w:szCs w:val="28"/>
          <w:lang w:eastAsia="el-GR"/>
        </w:rPr>
      </w:pPr>
      <w:r w:rsidRPr="00761476">
        <w:rPr>
          <w:rFonts w:ascii="Times New Roman" w:eastAsia="Times New Roman" w:hAnsi="Times New Roman"/>
          <w:b/>
          <w:bCs/>
          <w:sz w:val="28"/>
          <w:szCs w:val="28"/>
          <w:lang w:eastAsia="el-GR"/>
        </w:rPr>
        <w:t>Παραδειγματική τιμωρία</w:t>
      </w:r>
      <w:r w:rsidRPr="00761476">
        <w:rPr>
          <w:rFonts w:ascii="Times New Roman" w:eastAsia="Times New Roman" w:hAnsi="Times New Roman"/>
          <w:sz w:val="28"/>
          <w:szCs w:val="28"/>
          <w:lang w:eastAsia="el-GR"/>
        </w:rPr>
        <w:t xml:space="preserve"> των φυσικών και ηθικών αυτουργών των επιθέσεων.</w:t>
      </w:r>
    </w:p>
    <w:p w14:paraId="0ED71F96" w14:textId="198C9EAD" w:rsidR="00490F12" w:rsidRPr="00D32986" w:rsidRDefault="00761476" w:rsidP="00D32986">
      <w:pPr>
        <w:spacing w:after="40" w:line="240" w:lineRule="auto"/>
        <w:ind w:left="567"/>
        <w:jc w:val="both"/>
        <w:rPr>
          <w:rFonts w:ascii="Times New Roman" w:eastAsia="Times New Roman" w:hAnsi="Times New Roman"/>
          <w:sz w:val="28"/>
          <w:szCs w:val="28"/>
          <w:lang w:eastAsia="el-GR"/>
        </w:rPr>
      </w:pPr>
      <w:r w:rsidRPr="00761476">
        <w:rPr>
          <w:rFonts w:ascii="Times New Roman" w:eastAsia="Times New Roman" w:hAnsi="Times New Roman"/>
          <w:sz w:val="28"/>
          <w:szCs w:val="28"/>
          <w:lang w:eastAsia="el-GR"/>
        </w:rPr>
        <w:t>Η Κρήτη και οι έντιμοι παραγωγοί της δεν μπορούν να στιγματίζονται από τη δράση κακοποιών στοιχείων. Οι γεωτεχνικοί θα συνεχίσουν να επιτελούν το έργο τους στο ακέραιο, όρθιοι και απροσκύνητοι, ξέροντας πλέον ότι η εποχή της ατιμωρησίας πέρασε ανεπιστρεπτί.</w:t>
      </w:r>
    </w:p>
    <w:p w14:paraId="6DE36713" w14:textId="77777777" w:rsidR="00842E46" w:rsidRPr="003F3A97" w:rsidRDefault="00842E46" w:rsidP="00093D4D">
      <w:pPr>
        <w:ind w:left="6480" w:right="-193"/>
        <w:rPr>
          <w:rFonts w:ascii="Times New Roman" w:hAnsi="Times New Roman"/>
          <w:b/>
          <w:bCs/>
          <w:sz w:val="28"/>
          <w:szCs w:val="28"/>
        </w:rPr>
      </w:pPr>
      <w:r w:rsidRPr="003F3A97">
        <w:rPr>
          <w:rFonts w:ascii="Times New Roman" w:hAnsi="Times New Roman"/>
          <w:b/>
          <w:bCs/>
          <w:sz w:val="28"/>
          <w:szCs w:val="28"/>
        </w:rPr>
        <w:t>Για  το  Δ.Σ.</w:t>
      </w:r>
    </w:p>
    <w:p w14:paraId="47F63CD6" w14:textId="77777777" w:rsidR="00842E46" w:rsidRPr="00842E46" w:rsidRDefault="009F4164" w:rsidP="00842E46">
      <w:pPr>
        <w:spacing w:line="240" w:lineRule="auto"/>
        <w:ind w:left="5760"/>
        <w:jc w:val="both"/>
        <w:rPr>
          <w:rFonts w:ascii="Times New Roman" w:hAnsi="Times New Roman"/>
          <w:b/>
          <w:bCs/>
          <w:sz w:val="28"/>
          <w:szCs w:val="28"/>
        </w:rPr>
      </w:pPr>
      <w:r>
        <w:rPr>
          <w:rFonts w:ascii="Times New Roman" w:hAnsi="Times New Roman"/>
          <w:b/>
          <w:bCs/>
          <w:sz w:val="28"/>
          <w:szCs w:val="28"/>
        </w:rPr>
        <w:tab/>
      </w:r>
      <w:r w:rsidR="00B109A1" w:rsidRPr="00940202">
        <w:rPr>
          <w:noProof/>
          <w:szCs w:val="28"/>
          <w:lang w:eastAsia="el-GR"/>
        </w:rPr>
        <w:drawing>
          <wp:inline distT="0" distB="0" distL="0" distR="0" wp14:anchorId="4C88BE2D" wp14:editId="34F4956C">
            <wp:extent cx="1419225" cy="1264713"/>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2092" cy="1267268"/>
                    </a:xfrm>
                    <a:prstGeom prst="rect">
                      <a:avLst/>
                    </a:prstGeom>
                    <a:noFill/>
                    <a:ln>
                      <a:noFill/>
                    </a:ln>
                  </pic:spPr>
                </pic:pic>
              </a:graphicData>
            </a:graphic>
          </wp:inline>
        </w:drawing>
      </w:r>
    </w:p>
    <w:sectPr w:rsidR="00842E46" w:rsidRPr="00842E46" w:rsidSect="00D32986">
      <w:pgSz w:w="11906" w:h="16838"/>
      <w:pgMar w:top="284" w:right="992" w:bottom="28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637BB8"/>
    <w:multiLevelType w:val="multilevel"/>
    <w:tmpl w:val="4CE4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7" w15:restartNumberingAfterBreak="0">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0" w15:restartNumberingAfterBreak="0">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1" w15:restartNumberingAfterBreak="0">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3" w15:restartNumberingAfterBreak="0">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14" w15:restartNumberingAfterBreak="0">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5" w15:restartNumberingAfterBreak="0">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16cid:durableId="1559171543">
    <w:abstractNumId w:val="0"/>
  </w:num>
  <w:num w:numId="2" w16cid:durableId="1495805167">
    <w:abstractNumId w:val="14"/>
  </w:num>
  <w:num w:numId="3" w16cid:durableId="1643465709">
    <w:abstractNumId w:val="9"/>
  </w:num>
  <w:num w:numId="4" w16cid:durableId="716859544">
    <w:abstractNumId w:val="10"/>
  </w:num>
  <w:num w:numId="5" w16cid:durableId="538670023">
    <w:abstractNumId w:val="13"/>
  </w:num>
  <w:num w:numId="6" w16cid:durableId="568197616">
    <w:abstractNumId w:val="12"/>
  </w:num>
  <w:num w:numId="7" w16cid:durableId="1215652315">
    <w:abstractNumId w:val="6"/>
  </w:num>
  <w:num w:numId="8" w16cid:durableId="1312711628">
    <w:abstractNumId w:val="11"/>
  </w:num>
  <w:num w:numId="9" w16cid:durableId="42949381">
    <w:abstractNumId w:val="3"/>
  </w:num>
  <w:num w:numId="10" w16cid:durableId="980698112">
    <w:abstractNumId w:val="15"/>
  </w:num>
  <w:num w:numId="11" w16cid:durableId="847646024">
    <w:abstractNumId w:val="2"/>
  </w:num>
  <w:num w:numId="12" w16cid:durableId="1868056653">
    <w:abstractNumId w:val="1"/>
  </w:num>
  <w:num w:numId="13" w16cid:durableId="69426648">
    <w:abstractNumId w:val="7"/>
  </w:num>
  <w:num w:numId="14" w16cid:durableId="1362706916">
    <w:abstractNumId w:val="8"/>
  </w:num>
  <w:num w:numId="15" w16cid:durableId="1868248973">
    <w:abstractNumId w:val="4"/>
  </w:num>
  <w:num w:numId="16" w16cid:durableId="45955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C0"/>
    <w:rsid w:val="000033AB"/>
    <w:rsid w:val="00005E3E"/>
    <w:rsid w:val="000078D6"/>
    <w:rsid w:val="00021220"/>
    <w:rsid w:val="0002270C"/>
    <w:rsid w:val="00037894"/>
    <w:rsid w:val="0004324C"/>
    <w:rsid w:val="00044EBC"/>
    <w:rsid w:val="000627A3"/>
    <w:rsid w:val="00072B5B"/>
    <w:rsid w:val="00084B19"/>
    <w:rsid w:val="00093D4D"/>
    <w:rsid w:val="00095B7C"/>
    <w:rsid w:val="000B170D"/>
    <w:rsid w:val="000B6288"/>
    <w:rsid w:val="000C7053"/>
    <w:rsid w:val="000D706D"/>
    <w:rsid w:val="000F0A9C"/>
    <w:rsid w:val="000F39E0"/>
    <w:rsid w:val="0011039E"/>
    <w:rsid w:val="00113AA9"/>
    <w:rsid w:val="00144D11"/>
    <w:rsid w:val="00150AA2"/>
    <w:rsid w:val="00167B46"/>
    <w:rsid w:val="001801F9"/>
    <w:rsid w:val="00183624"/>
    <w:rsid w:val="00193D93"/>
    <w:rsid w:val="001C3965"/>
    <w:rsid w:val="001C58C6"/>
    <w:rsid w:val="001D4992"/>
    <w:rsid w:val="001D70FB"/>
    <w:rsid w:val="001F626C"/>
    <w:rsid w:val="002146C0"/>
    <w:rsid w:val="0023184D"/>
    <w:rsid w:val="0027531B"/>
    <w:rsid w:val="002778C0"/>
    <w:rsid w:val="00296D3E"/>
    <w:rsid w:val="002B0CEE"/>
    <w:rsid w:val="002C7ADA"/>
    <w:rsid w:val="002E2101"/>
    <w:rsid w:val="0031532B"/>
    <w:rsid w:val="00316345"/>
    <w:rsid w:val="00322FF2"/>
    <w:rsid w:val="003314B3"/>
    <w:rsid w:val="00343378"/>
    <w:rsid w:val="00345081"/>
    <w:rsid w:val="00363F9F"/>
    <w:rsid w:val="00372B2E"/>
    <w:rsid w:val="003752CC"/>
    <w:rsid w:val="0039290A"/>
    <w:rsid w:val="003A4624"/>
    <w:rsid w:val="003B476C"/>
    <w:rsid w:val="003C2F93"/>
    <w:rsid w:val="003D7E34"/>
    <w:rsid w:val="003F0E0C"/>
    <w:rsid w:val="003F3A97"/>
    <w:rsid w:val="00411421"/>
    <w:rsid w:val="004142C8"/>
    <w:rsid w:val="00421E14"/>
    <w:rsid w:val="0044020F"/>
    <w:rsid w:val="00445A88"/>
    <w:rsid w:val="004460CE"/>
    <w:rsid w:val="00455915"/>
    <w:rsid w:val="00490386"/>
    <w:rsid w:val="00490F12"/>
    <w:rsid w:val="004A27D5"/>
    <w:rsid w:val="004B0A48"/>
    <w:rsid w:val="004B2B6C"/>
    <w:rsid w:val="0050093C"/>
    <w:rsid w:val="005054EA"/>
    <w:rsid w:val="00513CEF"/>
    <w:rsid w:val="00514E08"/>
    <w:rsid w:val="0057520D"/>
    <w:rsid w:val="00580A2A"/>
    <w:rsid w:val="005A44F1"/>
    <w:rsid w:val="005B2F89"/>
    <w:rsid w:val="005D323E"/>
    <w:rsid w:val="005F1CC2"/>
    <w:rsid w:val="0062468F"/>
    <w:rsid w:val="006462F2"/>
    <w:rsid w:val="006507BF"/>
    <w:rsid w:val="006567DE"/>
    <w:rsid w:val="006579AF"/>
    <w:rsid w:val="006638C2"/>
    <w:rsid w:val="00665969"/>
    <w:rsid w:val="00666081"/>
    <w:rsid w:val="0068766C"/>
    <w:rsid w:val="00694C36"/>
    <w:rsid w:val="006A0DCC"/>
    <w:rsid w:val="006A1712"/>
    <w:rsid w:val="006A1FFB"/>
    <w:rsid w:val="006B6888"/>
    <w:rsid w:val="006E1528"/>
    <w:rsid w:val="006E31C1"/>
    <w:rsid w:val="006F1A94"/>
    <w:rsid w:val="006F5222"/>
    <w:rsid w:val="00714FDB"/>
    <w:rsid w:val="00716E70"/>
    <w:rsid w:val="007204C9"/>
    <w:rsid w:val="00733ECD"/>
    <w:rsid w:val="00737453"/>
    <w:rsid w:val="00761476"/>
    <w:rsid w:val="007639F1"/>
    <w:rsid w:val="00773BA0"/>
    <w:rsid w:val="0077413F"/>
    <w:rsid w:val="007759AC"/>
    <w:rsid w:val="00776D1B"/>
    <w:rsid w:val="007B126A"/>
    <w:rsid w:val="007B65FE"/>
    <w:rsid w:val="007E4951"/>
    <w:rsid w:val="00815DC0"/>
    <w:rsid w:val="008278C0"/>
    <w:rsid w:val="00835764"/>
    <w:rsid w:val="00842E46"/>
    <w:rsid w:val="00850CA4"/>
    <w:rsid w:val="008511BA"/>
    <w:rsid w:val="0085510B"/>
    <w:rsid w:val="00866852"/>
    <w:rsid w:val="008A650B"/>
    <w:rsid w:val="008B142B"/>
    <w:rsid w:val="008B5FBD"/>
    <w:rsid w:val="008B683E"/>
    <w:rsid w:val="008C415C"/>
    <w:rsid w:val="008D3BDD"/>
    <w:rsid w:val="008F1460"/>
    <w:rsid w:val="008F2973"/>
    <w:rsid w:val="008F4B7A"/>
    <w:rsid w:val="0091249C"/>
    <w:rsid w:val="00934A88"/>
    <w:rsid w:val="00937ED3"/>
    <w:rsid w:val="00947421"/>
    <w:rsid w:val="00947EF5"/>
    <w:rsid w:val="009647F7"/>
    <w:rsid w:val="00972571"/>
    <w:rsid w:val="00975546"/>
    <w:rsid w:val="0098116B"/>
    <w:rsid w:val="009869A5"/>
    <w:rsid w:val="009875DA"/>
    <w:rsid w:val="00987A30"/>
    <w:rsid w:val="009C6A34"/>
    <w:rsid w:val="009E18EC"/>
    <w:rsid w:val="009F4164"/>
    <w:rsid w:val="00A16046"/>
    <w:rsid w:val="00A371D8"/>
    <w:rsid w:val="00A37EAC"/>
    <w:rsid w:val="00A65F17"/>
    <w:rsid w:val="00A665FA"/>
    <w:rsid w:val="00A73A7C"/>
    <w:rsid w:val="00A863B9"/>
    <w:rsid w:val="00A90934"/>
    <w:rsid w:val="00AA5E08"/>
    <w:rsid w:val="00AB599F"/>
    <w:rsid w:val="00AE163F"/>
    <w:rsid w:val="00B01FB1"/>
    <w:rsid w:val="00B109A1"/>
    <w:rsid w:val="00B2255B"/>
    <w:rsid w:val="00B4263C"/>
    <w:rsid w:val="00B5059B"/>
    <w:rsid w:val="00B557DD"/>
    <w:rsid w:val="00B63E39"/>
    <w:rsid w:val="00B67672"/>
    <w:rsid w:val="00B82BF4"/>
    <w:rsid w:val="00BA3402"/>
    <w:rsid w:val="00BA536E"/>
    <w:rsid w:val="00BC193A"/>
    <w:rsid w:val="00BC37C2"/>
    <w:rsid w:val="00BD026A"/>
    <w:rsid w:val="00BE1CF5"/>
    <w:rsid w:val="00BE4278"/>
    <w:rsid w:val="00C270E3"/>
    <w:rsid w:val="00C31F46"/>
    <w:rsid w:val="00C571E9"/>
    <w:rsid w:val="00C57AAF"/>
    <w:rsid w:val="00C602C6"/>
    <w:rsid w:val="00C67154"/>
    <w:rsid w:val="00C74959"/>
    <w:rsid w:val="00C76A48"/>
    <w:rsid w:val="00C85378"/>
    <w:rsid w:val="00C9076F"/>
    <w:rsid w:val="00CB169D"/>
    <w:rsid w:val="00CC1249"/>
    <w:rsid w:val="00CD4153"/>
    <w:rsid w:val="00CE65BE"/>
    <w:rsid w:val="00CF1FF3"/>
    <w:rsid w:val="00CF5F48"/>
    <w:rsid w:val="00D115EA"/>
    <w:rsid w:val="00D147F1"/>
    <w:rsid w:val="00D23191"/>
    <w:rsid w:val="00D23346"/>
    <w:rsid w:val="00D263D5"/>
    <w:rsid w:val="00D3260A"/>
    <w:rsid w:val="00D32986"/>
    <w:rsid w:val="00D46B34"/>
    <w:rsid w:val="00D5463F"/>
    <w:rsid w:val="00DA360E"/>
    <w:rsid w:val="00DD39FE"/>
    <w:rsid w:val="00DD5B52"/>
    <w:rsid w:val="00DE2ED7"/>
    <w:rsid w:val="00E00821"/>
    <w:rsid w:val="00E026ED"/>
    <w:rsid w:val="00E41ADB"/>
    <w:rsid w:val="00E44D22"/>
    <w:rsid w:val="00E528F3"/>
    <w:rsid w:val="00E622C9"/>
    <w:rsid w:val="00E629D3"/>
    <w:rsid w:val="00E67ED8"/>
    <w:rsid w:val="00E701AC"/>
    <w:rsid w:val="00E818D3"/>
    <w:rsid w:val="00E948B2"/>
    <w:rsid w:val="00EA1E18"/>
    <w:rsid w:val="00EA3502"/>
    <w:rsid w:val="00EB7D99"/>
    <w:rsid w:val="00EE6A8D"/>
    <w:rsid w:val="00F148B0"/>
    <w:rsid w:val="00F22062"/>
    <w:rsid w:val="00F31565"/>
    <w:rsid w:val="00F81421"/>
    <w:rsid w:val="00F83DB9"/>
    <w:rsid w:val="00F84839"/>
    <w:rsid w:val="00FA6177"/>
    <w:rsid w:val="00FD14FA"/>
    <w:rsid w:val="00FF1CEA"/>
    <w:rsid w:val="00FF1E5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C55B7"/>
  <w15:docId w15:val="{4F4AA455-BE62-427F-B73B-8281CFBFD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7DD"/>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580A2A"/>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580A2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357195375">
      <w:bodyDiv w:val="1"/>
      <w:marLeft w:val="0"/>
      <w:marRight w:val="0"/>
      <w:marTop w:val="0"/>
      <w:marBottom w:val="0"/>
      <w:divBdr>
        <w:top w:val="none" w:sz="0" w:space="0" w:color="auto"/>
        <w:left w:val="none" w:sz="0" w:space="0" w:color="auto"/>
        <w:bottom w:val="none" w:sz="0" w:space="0" w:color="auto"/>
        <w:right w:val="none" w:sz="0" w:space="0" w:color="auto"/>
      </w:divBdr>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9955558">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C3D2B-66E2-4E70-B5E8-AD7E12EEF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1745</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cp:lastModifiedBy>
  <cp:revision>3</cp:revision>
  <cp:lastPrinted>2022-11-28T09:18:00Z</cp:lastPrinted>
  <dcterms:created xsi:type="dcterms:W3CDTF">2026-05-19T10:01:00Z</dcterms:created>
  <dcterms:modified xsi:type="dcterms:W3CDTF">2026-05-19T10:01:00Z</dcterms:modified>
</cp:coreProperties>
</file>