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ayout w:type="fixed"/>
        <w:tblLook w:val="0000" w:firstRow="0" w:lastRow="0" w:firstColumn="0" w:lastColumn="0" w:noHBand="0" w:noVBand="0"/>
      </w:tblPr>
      <w:tblGrid>
        <w:gridCol w:w="9923"/>
      </w:tblGrid>
      <w:tr w:rsidR="00C9076F" w14:paraId="4A913D9D" w14:textId="77777777" w:rsidTr="00773BA0">
        <w:trPr>
          <w:jc w:val="center"/>
        </w:trPr>
        <w:tc>
          <w:tcPr>
            <w:tcW w:w="9923" w:type="dxa"/>
            <w:tcBorders>
              <w:top w:val="single" w:sz="4" w:space="0" w:color="000000"/>
              <w:left w:val="single" w:sz="4" w:space="0" w:color="000000"/>
              <w:bottom w:val="single" w:sz="4" w:space="0" w:color="000000"/>
              <w:right w:val="single" w:sz="4" w:space="0" w:color="000000"/>
            </w:tcBorders>
          </w:tcPr>
          <w:p w14:paraId="064C5E53" w14:textId="77777777" w:rsidR="00C9076F" w:rsidRPr="009E18EC" w:rsidRDefault="00C9076F" w:rsidP="003314B3">
            <w:pPr>
              <w:pStyle w:val="1"/>
              <w:spacing w:after="100"/>
              <w:rPr>
                <w:bCs/>
                <w:sz w:val="24"/>
              </w:rPr>
            </w:pPr>
            <w:r w:rsidRPr="009E18EC">
              <w:rPr>
                <w:bCs/>
                <w:sz w:val="24"/>
              </w:rPr>
              <w:t>ΠΑΝΕΛΛΗΝΙΑ ΟΜΟΣΠΟΝΔΙΑ ΓΕΩΤΕΧΝΙΚΩΝ ΔΗΜΟΣΙΩΝ ΥΠΑΛΛΗΛΩΝ</w:t>
            </w:r>
          </w:p>
          <w:p w14:paraId="3ACB3BEB" w14:textId="77777777" w:rsidR="00C9076F" w:rsidRPr="009E18EC" w:rsidRDefault="00C9076F" w:rsidP="003314B3">
            <w:pPr>
              <w:spacing w:after="100" w:line="240" w:lineRule="exact"/>
              <w:jc w:val="center"/>
              <w:rPr>
                <w:rFonts w:ascii="Times New Roman" w:hAnsi="Times New Roman"/>
                <w:b/>
                <w:sz w:val="24"/>
                <w:szCs w:val="24"/>
              </w:rPr>
            </w:pPr>
            <w:r w:rsidRPr="009E18EC">
              <w:rPr>
                <w:rFonts w:ascii="Times New Roman" w:hAnsi="Times New Roman"/>
                <w:b/>
                <w:sz w:val="24"/>
                <w:szCs w:val="24"/>
              </w:rPr>
              <w:t>(ΠΟΓΕΔΥ)</w:t>
            </w:r>
          </w:p>
          <w:p w14:paraId="21C66ED4"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5496874B"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2DD11EA4"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40F5872D" w14:textId="77777777" w:rsidR="008278C0" w:rsidRDefault="008278C0" w:rsidP="008278C0">
      <w:pPr>
        <w:spacing w:line="240" w:lineRule="auto"/>
        <w:ind w:left="5760"/>
        <w:jc w:val="right"/>
        <w:rPr>
          <w:rFonts w:ascii="Times New Roman" w:hAnsi="Times New Roman"/>
          <w:b/>
          <w:bCs/>
          <w:sz w:val="28"/>
          <w:szCs w:val="28"/>
        </w:rPr>
      </w:pPr>
    </w:p>
    <w:p w14:paraId="264FACB4" w14:textId="77777777"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F84839">
        <w:rPr>
          <w:rFonts w:ascii="Times New Roman" w:hAnsi="Times New Roman"/>
          <w:b/>
          <w:bCs/>
          <w:sz w:val="28"/>
          <w:szCs w:val="28"/>
        </w:rPr>
        <w:t>18</w:t>
      </w:r>
      <w:r w:rsidR="00FF1E56">
        <w:rPr>
          <w:rFonts w:ascii="Times New Roman" w:hAnsi="Times New Roman"/>
          <w:b/>
          <w:bCs/>
          <w:sz w:val="28"/>
          <w:szCs w:val="28"/>
        </w:rPr>
        <w:t>-5-2026</w:t>
      </w:r>
    </w:p>
    <w:p w14:paraId="59A149AF" w14:textId="77777777"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14:paraId="1B94A5AE" w14:textId="77777777" w:rsidR="00F84839" w:rsidRDefault="00F84839" w:rsidP="00F84839">
      <w:pPr>
        <w:pStyle w:val="Web"/>
        <w:jc w:val="center"/>
        <w:rPr>
          <w:sz w:val="28"/>
          <w:szCs w:val="28"/>
        </w:rPr>
      </w:pPr>
      <w:r w:rsidRPr="00F84839">
        <w:rPr>
          <w:rStyle w:val="a3"/>
          <w:sz w:val="28"/>
          <w:szCs w:val="28"/>
        </w:rPr>
        <w:t>Τέλος στην αδιαφάνεια στο ΤΓΚ ζητά η ΠΟΓΕΔΥ</w:t>
      </w:r>
    </w:p>
    <w:p w14:paraId="30A4B54A" w14:textId="77777777" w:rsidR="00F84839" w:rsidRPr="00F84839" w:rsidRDefault="00F84839" w:rsidP="00F84839">
      <w:pPr>
        <w:pStyle w:val="Web"/>
        <w:jc w:val="both"/>
        <w:rPr>
          <w:i/>
          <w:iCs/>
          <w:sz w:val="28"/>
          <w:szCs w:val="28"/>
        </w:rPr>
      </w:pPr>
      <w:r w:rsidRPr="00F84839">
        <w:rPr>
          <w:rStyle w:val="a4"/>
          <w:sz w:val="28"/>
          <w:szCs w:val="28"/>
        </w:rPr>
        <w:t>Αίτημα για άμεση αποκατάσταση της νομιμότητας και της ανταποδοτικότητας στη διαχείριση των πόρων υπέρ των γεωτεχνικών υπηρεσιών</w:t>
      </w:r>
    </w:p>
    <w:p w14:paraId="39CBB0C0" w14:textId="73F78EE4" w:rsidR="00F84839" w:rsidRPr="00F84839" w:rsidRDefault="00F84839" w:rsidP="00F84839">
      <w:pPr>
        <w:pStyle w:val="Web"/>
        <w:jc w:val="both"/>
        <w:rPr>
          <w:sz w:val="28"/>
          <w:szCs w:val="28"/>
        </w:rPr>
      </w:pPr>
      <w:r w:rsidRPr="00F84839">
        <w:rPr>
          <w:sz w:val="28"/>
          <w:szCs w:val="28"/>
        </w:rPr>
        <w:t xml:space="preserve">Η Πανελλήνια Ομοσπονδία Γεωτεχνικών Δημοσίων Υπαλλήλων (ΠΟΓΕΔΥ) επανέρχεται με νέο, </w:t>
      </w:r>
      <w:hyperlink r:id="rId6" w:history="1">
        <w:r w:rsidRPr="00221FE3">
          <w:rPr>
            <w:rStyle w:val="-"/>
            <w:sz w:val="28"/>
            <w:szCs w:val="28"/>
          </w:rPr>
          <w:t>τεκμηριωμένο αίτημα</w:t>
        </w:r>
      </w:hyperlink>
      <w:r w:rsidRPr="00F84839">
        <w:rPr>
          <w:sz w:val="28"/>
          <w:szCs w:val="28"/>
        </w:rPr>
        <w:t xml:space="preserve"> προς την πολιτική ηγεσία του Υπουργείου Αγροτικής Ανάπτυξης και Τροφίμων, ζητώντας την άμεση αποκατάσταση της νομιμότητας και της ανταποδοτικότητας στη διαχείριση του Ταμείου Γεωργίας και Κτηνοτροφίας (ΤΓΚ).</w:t>
      </w:r>
    </w:p>
    <w:p w14:paraId="5648798F" w14:textId="77777777" w:rsidR="00F84839" w:rsidRPr="00F84839" w:rsidRDefault="00F84839" w:rsidP="00F84839">
      <w:pPr>
        <w:pStyle w:val="Web"/>
        <w:jc w:val="both"/>
        <w:rPr>
          <w:sz w:val="28"/>
          <w:szCs w:val="28"/>
        </w:rPr>
      </w:pPr>
      <w:r w:rsidRPr="00F84839">
        <w:rPr>
          <w:sz w:val="28"/>
          <w:szCs w:val="28"/>
        </w:rPr>
        <w:t xml:space="preserve">Όπως επισημαίνει η Ομοσπονδία, το ΤΓΚ αποτελεί θεσμικό εργαλείο που οφείλει να υπηρετεί αποκλειστικά τις ανάγκες των γεωτεχνικών υπηρεσιών και του πρωτογενούς τομέα, σύμφωνα με το ισχύον εθνικό και </w:t>
      </w:r>
      <w:proofErr w:type="spellStart"/>
      <w:r w:rsidRPr="00F84839">
        <w:rPr>
          <w:sz w:val="28"/>
          <w:szCs w:val="28"/>
        </w:rPr>
        <w:t>ενωσιακό</w:t>
      </w:r>
      <w:proofErr w:type="spellEnd"/>
      <w:r w:rsidRPr="00F84839">
        <w:rPr>
          <w:sz w:val="28"/>
          <w:szCs w:val="28"/>
        </w:rPr>
        <w:t xml:space="preserve"> πλαίσιο. Ωστόσο, σύμφωνα με τα στοιχεία που θέτει υπόψη του Υπουργείου, η λειτουργία του Ταμείου παρουσιάζει σοβαρές αποκλίσεις από την αρχή της ανταποδοτικότητας, ενώ εγείρονται εύλογα ερωτήματα για τη νομιμότητα επιμέρους δαπανών και διοικητικών πρακτικών.</w:t>
      </w:r>
    </w:p>
    <w:p w14:paraId="356C4B8D" w14:textId="77777777" w:rsidR="00F84839" w:rsidRPr="00F84839" w:rsidRDefault="00F84839" w:rsidP="00F84839">
      <w:pPr>
        <w:pStyle w:val="Web"/>
        <w:jc w:val="both"/>
        <w:rPr>
          <w:sz w:val="28"/>
          <w:szCs w:val="28"/>
        </w:rPr>
      </w:pPr>
      <w:r w:rsidRPr="00F84839">
        <w:rPr>
          <w:sz w:val="28"/>
          <w:szCs w:val="28"/>
        </w:rPr>
        <w:t xml:space="preserve">Η ΠΟΓΕΔΥ αναφέρεται, μεταξύ άλλων, στο γεγονός ότι το ΤΓΚ λειτουργεί επί σειρά ετών χωρίς εγκεκριμένο Ισολογισμό-Απολογισμό προηγούμενου έτους, ενώ </w:t>
      </w:r>
      <w:r w:rsidR="0044020F">
        <w:rPr>
          <w:sz w:val="28"/>
          <w:szCs w:val="28"/>
        </w:rPr>
        <w:t xml:space="preserve">δαπάνες παρελθόντων ετών έχουν </w:t>
      </w:r>
      <w:r w:rsidRPr="00F84839">
        <w:rPr>
          <w:sz w:val="28"/>
          <w:szCs w:val="28"/>
        </w:rPr>
        <w:t>«νομιμοποιηθεί» εκ των υστέρων με νομοθετικές παρεκκλίσεις. Παράλληλα, επισημαίνει ότι, παρά τις σαφείς προβλέψεις του Κανονισμού (ΕΕ) 2017/625 και της σχετικής ΚΥΑ 5579/15805</w:t>
      </w:r>
      <w:r w:rsidR="0044020F">
        <w:rPr>
          <w:sz w:val="28"/>
          <w:szCs w:val="28"/>
        </w:rPr>
        <w:t xml:space="preserve">4/22, τα τέλη που εισπράττονται </w:t>
      </w:r>
      <w:r w:rsidRPr="00F84839">
        <w:rPr>
          <w:sz w:val="28"/>
          <w:szCs w:val="28"/>
        </w:rPr>
        <w:t>για επίσημους ελέγχους δεν αποδίδονται όπως προβλέπεται, στερώντας πολύτιμους πόρους από τις υπηρεσίες που επιτελούν το έργο αυτό.</w:t>
      </w:r>
    </w:p>
    <w:p w14:paraId="169B2995" w14:textId="77777777" w:rsidR="00F84839" w:rsidRPr="00F84839" w:rsidRDefault="00F84839" w:rsidP="00F84839">
      <w:pPr>
        <w:pStyle w:val="Web"/>
        <w:jc w:val="both"/>
        <w:rPr>
          <w:sz w:val="28"/>
          <w:szCs w:val="28"/>
        </w:rPr>
      </w:pPr>
      <w:r w:rsidRPr="00F84839">
        <w:rPr>
          <w:sz w:val="28"/>
          <w:szCs w:val="28"/>
        </w:rPr>
        <w:t>Ενδεικτικά, η ΠΟΓΕΔΥ αναφέρει ότι μόνο στην Περιφέρεια Κεντρικής Μακεδονίας, για την περίοδο 2023-2025, έχουν εισπραχθεί για λογαριασμό του ΤΓΚ ποσά που υπερβαίνουν τα 2 εκατ. ευρώ, χωρίς να έχει αποδοθεί η αντίστοιχη ανταποδοτικότητα. Την ίδια στιγμή, όπως τονίζει, σημαντικοί πόροι του Ταμείου κατευθύνονται σε δαπάνες που δεν συνδέονται με τον καταστατικό σκοπό του, όπως χρηματοδοτήσεις τρίτων φορέων, έργα άσχετα με τις ανάγκες των γεωτεχνικών υπηρεσιών, καθώς και ασαφείς ή γενικές προβλέψεις στον προϋπολογισμό του 2026.</w:t>
      </w:r>
    </w:p>
    <w:p w14:paraId="5996E5EF" w14:textId="77777777" w:rsidR="00F84839" w:rsidRPr="00F84839" w:rsidRDefault="00F84839" w:rsidP="00F84839">
      <w:pPr>
        <w:pStyle w:val="Web"/>
        <w:jc w:val="both"/>
        <w:rPr>
          <w:sz w:val="28"/>
          <w:szCs w:val="28"/>
        </w:rPr>
      </w:pPr>
      <w:r w:rsidRPr="00F84839">
        <w:rPr>
          <w:sz w:val="28"/>
          <w:szCs w:val="28"/>
        </w:rPr>
        <w:lastRenderedPageBreak/>
        <w:t>Η Ομοσπονδία θέτει επίσης ζήτημα νομιμότητας στη συγκρότηση και λειτουργία της διοίκησης του Ταμείου, ζητώντας σαφείς απαντήσεις για τα τυπικά προσόντα του Προέδρου του Διοικητικού Συμβουλίου, καθώς και για τη διαδικασία βάσει της οποίας ασκεί τα καθήκοντά του.</w:t>
      </w:r>
    </w:p>
    <w:p w14:paraId="0CFFF37E" w14:textId="77777777" w:rsidR="00F84839" w:rsidRPr="00F84839" w:rsidRDefault="00F84839" w:rsidP="00F84839">
      <w:pPr>
        <w:pStyle w:val="Web"/>
        <w:jc w:val="both"/>
        <w:rPr>
          <w:sz w:val="28"/>
          <w:szCs w:val="28"/>
        </w:rPr>
      </w:pPr>
      <w:r w:rsidRPr="00F84839">
        <w:rPr>
          <w:sz w:val="28"/>
          <w:szCs w:val="28"/>
        </w:rPr>
        <w:t>Με βάση όλα τα παραπάνω, η ΠΟΓΕΔΥ ζητά από τον Υπουργό:</w:t>
      </w:r>
      <w:r w:rsidRPr="00F84839">
        <w:rPr>
          <w:sz w:val="28"/>
          <w:szCs w:val="28"/>
        </w:rPr>
        <w:br/>
        <w:t xml:space="preserve">την άμεση συνάντηση για τη συζήτηση </w:t>
      </w:r>
      <w:r w:rsidR="0044020F">
        <w:rPr>
          <w:sz w:val="28"/>
          <w:szCs w:val="28"/>
        </w:rPr>
        <w:t>επί του ορθού</w:t>
      </w:r>
      <w:r w:rsidRPr="00F84839">
        <w:rPr>
          <w:sz w:val="28"/>
          <w:szCs w:val="28"/>
        </w:rPr>
        <w:t xml:space="preserve"> θεσμικού πλαισίου διαχείρισης, αντίστοιχου με εκείνο του «Πράσινου Ταμείου», ώστε να διασφαλιστεί η πλή</w:t>
      </w:r>
      <w:r>
        <w:rPr>
          <w:sz w:val="28"/>
          <w:szCs w:val="28"/>
        </w:rPr>
        <w:t xml:space="preserve">ρης ανταποδοτικότητα των πόρων </w:t>
      </w:r>
      <w:r w:rsidR="006A0DCC">
        <w:rPr>
          <w:sz w:val="28"/>
          <w:szCs w:val="28"/>
        </w:rPr>
        <w:t>και την</w:t>
      </w:r>
      <w:r w:rsidRPr="00F84839">
        <w:rPr>
          <w:sz w:val="28"/>
          <w:szCs w:val="28"/>
        </w:rPr>
        <w:t xml:space="preserve"> πιστή εφαρμογή του Κανονισμού (ΕΕ) 2017/625 και της ΚΥΑ 5579/158054/22, με άμεση απόδοση των οφειλόμενων ποσών στις γεωτεχνικές υπηρεσίες που συμβάλλουν στο έργο του ΤΓΚ.</w:t>
      </w:r>
    </w:p>
    <w:p w14:paraId="522CF14E" w14:textId="77777777" w:rsidR="00F84839" w:rsidRPr="00F84839" w:rsidRDefault="00F84839" w:rsidP="00F84839">
      <w:pPr>
        <w:pStyle w:val="Web"/>
        <w:jc w:val="both"/>
        <w:rPr>
          <w:sz w:val="28"/>
          <w:szCs w:val="28"/>
        </w:rPr>
      </w:pPr>
      <w:r w:rsidRPr="00F84839">
        <w:rPr>
          <w:sz w:val="28"/>
          <w:szCs w:val="28"/>
        </w:rPr>
        <w:t xml:space="preserve">Η ΠΟΓΕΔΥ δηλώνει ότι επιδιώκει την επίλυση του ζητήματος με συναινετικό και θεσμικό τρόπο, ξεκαθαρίζοντας ωστόσο ότι θα αξιοποιήσει κάθε νόμιμο μέσο για την πλήρη εφαρμογή της ευρωπαϊκής και εθνικής νομοθεσίας και για την προστασία των πόρων που στηρίζουν την ασφάλεια και την ποιότητα της </w:t>
      </w:r>
      <w:proofErr w:type="spellStart"/>
      <w:r w:rsidRPr="00F84839">
        <w:rPr>
          <w:sz w:val="28"/>
          <w:szCs w:val="28"/>
        </w:rPr>
        <w:t>αγροδιατροφικής</w:t>
      </w:r>
      <w:proofErr w:type="spellEnd"/>
      <w:r w:rsidRPr="00F84839">
        <w:rPr>
          <w:sz w:val="28"/>
          <w:szCs w:val="28"/>
        </w:rPr>
        <w:t xml:space="preserve"> αλυσίδας.</w:t>
      </w:r>
    </w:p>
    <w:p w14:paraId="21321095" w14:textId="77777777" w:rsidR="000F39E0" w:rsidRPr="00FF1E56" w:rsidRDefault="000F39E0" w:rsidP="00FF1E56">
      <w:pPr>
        <w:spacing w:after="0"/>
        <w:jc w:val="both"/>
        <w:rPr>
          <w:rFonts w:ascii="Times New Roman" w:eastAsia="Times New Roman" w:hAnsi="Times New Roman"/>
          <w:color w:val="080809"/>
          <w:sz w:val="28"/>
          <w:szCs w:val="28"/>
          <w:lang w:eastAsia="el-GR"/>
        </w:rPr>
      </w:pPr>
    </w:p>
    <w:p w14:paraId="18B2F667" w14:textId="77777777" w:rsidR="000F39E0" w:rsidRPr="001C58C6" w:rsidRDefault="000F39E0" w:rsidP="000F39E0">
      <w:pPr>
        <w:spacing w:after="0"/>
        <w:jc w:val="both"/>
        <w:rPr>
          <w:rFonts w:ascii="Times New Roman" w:hAnsi="Times New Roman"/>
          <w:sz w:val="28"/>
          <w:szCs w:val="28"/>
        </w:rPr>
      </w:pPr>
    </w:p>
    <w:p w14:paraId="24A391D4" w14:textId="77777777" w:rsidR="00714FDB" w:rsidRPr="000F39E0" w:rsidRDefault="00714FDB" w:rsidP="00084B19">
      <w:pPr>
        <w:spacing w:after="0"/>
        <w:jc w:val="both"/>
        <w:rPr>
          <w:rFonts w:ascii="Times New Roman" w:hAnsi="Times New Roman"/>
          <w:sz w:val="28"/>
          <w:szCs w:val="28"/>
        </w:rPr>
      </w:pPr>
    </w:p>
    <w:p w14:paraId="321E45A3" w14:textId="77777777" w:rsidR="00490F12" w:rsidRPr="000F39E0" w:rsidRDefault="00E44D22" w:rsidP="008F1460">
      <w:pPr>
        <w:spacing w:after="0" w:line="240" w:lineRule="auto"/>
        <w:jc w:val="both"/>
        <w:rPr>
          <w:rFonts w:ascii="Times New Roman" w:hAnsi="Times New Roman"/>
          <w:b/>
          <w:sz w:val="28"/>
          <w:szCs w:val="28"/>
        </w:rPr>
      </w:pPr>
      <w:r w:rsidRPr="000F39E0">
        <w:rPr>
          <w:rFonts w:ascii="Times New Roman" w:hAnsi="Times New Roman"/>
          <w:b/>
          <w:sz w:val="28"/>
          <w:szCs w:val="28"/>
        </w:rPr>
        <w:tab/>
      </w:r>
    </w:p>
    <w:p w14:paraId="4E624CF7" w14:textId="77777777" w:rsidR="00842E46" w:rsidRPr="003F3A97" w:rsidRDefault="00842E46" w:rsidP="00093D4D">
      <w:pPr>
        <w:ind w:left="6480" w:right="-193"/>
        <w:rPr>
          <w:rFonts w:ascii="Times New Roman" w:hAnsi="Times New Roman"/>
          <w:b/>
          <w:bCs/>
          <w:sz w:val="28"/>
          <w:szCs w:val="28"/>
        </w:rPr>
      </w:pPr>
      <w:r w:rsidRPr="003F3A97">
        <w:rPr>
          <w:rFonts w:ascii="Times New Roman" w:hAnsi="Times New Roman"/>
          <w:b/>
          <w:bCs/>
          <w:sz w:val="28"/>
          <w:szCs w:val="28"/>
        </w:rPr>
        <w:t>Για  το  Δ.Σ.</w:t>
      </w:r>
    </w:p>
    <w:p w14:paraId="2C2F75E6" w14:textId="77777777"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14:anchorId="33CACE0D" wp14:editId="064F85DE">
            <wp:extent cx="1889760" cy="16840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760" cy="1684020"/>
                    </a:xfrm>
                    <a:prstGeom prst="rect">
                      <a:avLst/>
                    </a:prstGeom>
                    <a:noFill/>
                    <a:ln>
                      <a:noFill/>
                    </a:ln>
                  </pic:spPr>
                </pic:pic>
              </a:graphicData>
            </a:graphic>
          </wp:inline>
        </w:drawing>
      </w:r>
    </w:p>
    <w:sectPr w:rsidR="00842E46" w:rsidRPr="00842E46" w:rsidSect="00514E08">
      <w:pgSz w:w="11906" w:h="16838"/>
      <w:pgMar w:top="851"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2"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3"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4"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261107080">
    <w:abstractNumId w:val="0"/>
  </w:num>
  <w:num w:numId="2" w16cid:durableId="832263768">
    <w:abstractNumId w:val="13"/>
  </w:num>
  <w:num w:numId="3" w16cid:durableId="41562679">
    <w:abstractNumId w:val="8"/>
  </w:num>
  <w:num w:numId="4" w16cid:durableId="207500545">
    <w:abstractNumId w:val="9"/>
  </w:num>
  <w:num w:numId="5" w16cid:durableId="431122981">
    <w:abstractNumId w:val="12"/>
  </w:num>
  <w:num w:numId="6" w16cid:durableId="446658630">
    <w:abstractNumId w:val="11"/>
  </w:num>
  <w:num w:numId="7" w16cid:durableId="742724636">
    <w:abstractNumId w:val="5"/>
  </w:num>
  <w:num w:numId="8" w16cid:durableId="512720189">
    <w:abstractNumId w:val="10"/>
  </w:num>
  <w:num w:numId="9" w16cid:durableId="65691239">
    <w:abstractNumId w:val="3"/>
  </w:num>
  <w:num w:numId="10" w16cid:durableId="1394507095">
    <w:abstractNumId w:val="14"/>
  </w:num>
  <w:num w:numId="11" w16cid:durableId="1302810686">
    <w:abstractNumId w:val="2"/>
  </w:num>
  <w:num w:numId="12" w16cid:durableId="814756728">
    <w:abstractNumId w:val="1"/>
  </w:num>
  <w:num w:numId="13" w16cid:durableId="1173178573">
    <w:abstractNumId w:val="6"/>
  </w:num>
  <w:num w:numId="14" w16cid:durableId="1538809500">
    <w:abstractNumId w:val="7"/>
  </w:num>
  <w:num w:numId="15" w16cid:durableId="2062947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3AB"/>
    <w:rsid w:val="00005E3E"/>
    <w:rsid w:val="000078D6"/>
    <w:rsid w:val="00021220"/>
    <w:rsid w:val="0002270C"/>
    <w:rsid w:val="00037894"/>
    <w:rsid w:val="00044EBC"/>
    <w:rsid w:val="000627A3"/>
    <w:rsid w:val="00072B5B"/>
    <w:rsid w:val="00084B19"/>
    <w:rsid w:val="00093D4D"/>
    <w:rsid w:val="00095B7C"/>
    <w:rsid w:val="000B170D"/>
    <w:rsid w:val="000B6288"/>
    <w:rsid w:val="000C7053"/>
    <w:rsid w:val="000D706D"/>
    <w:rsid w:val="000F0A9C"/>
    <w:rsid w:val="000F39E0"/>
    <w:rsid w:val="0011039E"/>
    <w:rsid w:val="00113AA9"/>
    <w:rsid w:val="00144D11"/>
    <w:rsid w:val="00150AA2"/>
    <w:rsid w:val="00167B46"/>
    <w:rsid w:val="001801F9"/>
    <w:rsid w:val="00183624"/>
    <w:rsid w:val="00193D93"/>
    <w:rsid w:val="001C3965"/>
    <w:rsid w:val="001C58C6"/>
    <w:rsid w:val="001D4992"/>
    <w:rsid w:val="001D70FB"/>
    <w:rsid w:val="001F626C"/>
    <w:rsid w:val="002146C0"/>
    <w:rsid w:val="00221FE3"/>
    <w:rsid w:val="0023184D"/>
    <w:rsid w:val="0027531B"/>
    <w:rsid w:val="002778C0"/>
    <w:rsid w:val="00296D3E"/>
    <w:rsid w:val="002B0CEE"/>
    <w:rsid w:val="002C7ADA"/>
    <w:rsid w:val="002E2101"/>
    <w:rsid w:val="0031532B"/>
    <w:rsid w:val="00316345"/>
    <w:rsid w:val="00322FF2"/>
    <w:rsid w:val="003314B3"/>
    <w:rsid w:val="00336B5A"/>
    <w:rsid w:val="00343378"/>
    <w:rsid w:val="00345081"/>
    <w:rsid w:val="00363F9F"/>
    <w:rsid w:val="00372B2E"/>
    <w:rsid w:val="003752CC"/>
    <w:rsid w:val="0039290A"/>
    <w:rsid w:val="003A4624"/>
    <w:rsid w:val="003B476C"/>
    <w:rsid w:val="003C2F93"/>
    <w:rsid w:val="003D7E34"/>
    <w:rsid w:val="003F0E0C"/>
    <w:rsid w:val="003F3A97"/>
    <w:rsid w:val="00411421"/>
    <w:rsid w:val="004142C8"/>
    <w:rsid w:val="00421E14"/>
    <w:rsid w:val="0044020F"/>
    <w:rsid w:val="00445A88"/>
    <w:rsid w:val="004460CE"/>
    <w:rsid w:val="00455915"/>
    <w:rsid w:val="004625B7"/>
    <w:rsid w:val="00490386"/>
    <w:rsid w:val="00490F12"/>
    <w:rsid w:val="004A27D5"/>
    <w:rsid w:val="004B0A48"/>
    <w:rsid w:val="004B2B6C"/>
    <w:rsid w:val="005054EA"/>
    <w:rsid w:val="00513CEF"/>
    <w:rsid w:val="00514E08"/>
    <w:rsid w:val="0057520D"/>
    <w:rsid w:val="00580A2A"/>
    <w:rsid w:val="005A44F1"/>
    <w:rsid w:val="005B2F89"/>
    <w:rsid w:val="005D323E"/>
    <w:rsid w:val="005F1CC2"/>
    <w:rsid w:val="0062468F"/>
    <w:rsid w:val="006462F2"/>
    <w:rsid w:val="006507BF"/>
    <w:rsid w:val="006567DE"/>
    <w:rsid w:val="006579AF"/>
    <w:rsid w:val="006638C2"/>
    <w:rsid w:val="00665969"/>
    <w:rsid w:val="00666081"/>
    <w:rsid w:val="0068766C"/>
    <w:rsid w:val="00694C36"/>
    <w:rsid w:val="006A0DCC"/>
    <w:rsid w:val="006A1712"/>
    <w:rsid w:val="006A1FFB"/>
    <w:rsid w:val="006B6888"/>
    <w:rsid w:val="006E1528"/>
    <w:rsid w:val="006E31C1"/>
    <w:rsid w:val="006F1A94"/>
    <w:rsid w:val="006F5222"/>
    <w:rsid w:val="00714FDB"/>
    <w:rsid w:val="00716E70"/>
    <w:rsid w:val="007204C9"/>
    <w:rsid w:val="00733ECD"/>
    <w:rsid w:val="00737453"/>
    <w:rsid w:val="007639F1"/>
    <w:rsid w:val="00773BA0"/>
    <w:rsid w:val="0077413F"/>
    <w:rsid w:val="007759AC"/>
    <w:rsid w:val="00776D1B"/>
    <w:rsid w:val="007B126A"/>
    <w:rsid w:val="007B65FE"/>
    <w:rsid w:val="007E4951"/>
    <w:rsid w:val="00815DC0"/>
    <w:rsid w:val="008278C0"/>
    <w:rsid w:val="00835764"/>
    <w:rsid w:val="00842E46"/>
    <w:rsid w:val="00850CA4"/>
    <w:rsid w:val="008511BA"/>
    <w:rsid w:val="0085510B"/>
    <w:rsid w:val="00866852"/>
    <w:rsid w:val="008A650B"/>
    <w:rsid w:val="008B142B"/>
    <w:rsid w:val="008B5FBD"/>
    <w:rsid w:val="008B683E"/>
    <w:rsid w:val="008C415C"/>
    <w:rsid w:val="008D3BDD"/>
    <w:rsid w:val="008F1460"/>
    <w:rsid w:val="008F2973"/>
    <w:rsid w:val="008F4B7A"/>
    <w:rsid w:val="0091249C"/>
    <w:rsid w:val="00934A88"/>
    <w:rsid w:val="00937ED3"/>
    <w:rsid w:val="00947421"/>
    <w:rsid w:val="00947EF5"/>
    <w:rsid w:val="009647F7"/>
    <w:rsid w:val="00972571"/>
    <w:rsid w:val="00975546"/>
    <w:rsid w:val="0098116B"/>
    <w:rsid w:val="009869A5"/>
    <w:rsid w:val="009875DA"/>
    <w:rsid w:val="00987A30"/>
    <w:rsid w:val="009C6A34"/>
    <w:rsid w:val="009E18EC"/>
    <w:rsid w:val="009F4164"/>
    <w:rsid w:val="00A16046"/>
    <w:rsid w:val="00A371D8"/>
    <w:rsid w:val="00A37EAC"/>
    <w:rsid w:val="00A65F17"/>
    <w:rsid w:val="00A665FA"/>
    <w:rsid w:val="00A73A7C"/>
    <w:rsid w:val="00A863B9"/>
    <w:rsid w:val="00A90934"/>
    <w:rsid w:val="00AA5E08"/>
    <w:rsid w:val="00AB599F"/>
    <w:rsid w:val="00AE163F"/>
    <w:rsid w:val="00B01FB1"/>
    <w:rsid w:val="00B109A1"/>
    <w:rsid w:val="00B4263C"/>
    <w:rsid w:val="00B5059B"/>
    <w:rsid w:val="00B557DD"/>
    <w:rsid w:val="00B63E39"/>
    <w:rsid w:val="00B67672"/>
    <w:rsid w:val="00B82BF4"/>
    <w:rsid w:val="00BA3402"/>
    <w:rsid w:val="00BA536E"/>
    <w:rsid w:val="00BC193A"/>
    <w:rsid w:val="00BC37C2"/>
    <w:rsid w:val="00BD026A"/>
    <w:rsid w:val="00BE1CF5"/>
    <w:rsid w:val="00BE4278"/>
    <w:rsid w:val="00C270E3"/>
    <w:rsid w:val="00C31F46"/>
    <w:rsid w:val="00C571E9"/>
    <w:rsid w:val="00C57AAF"/>
    <w:rsid w:val="00C602C6"/>
    <w:rsid w:val="00C67154"/>
    <w:rsid w:val="00C74959"/>
    <w:rsid w:val="00C76A48"/>
    <w:rsid w:val="00C85378"/>
    <w:rsid w:val="00C9076F"/>
    <w:rsid w:val="00CB169D"/>
    <w:rsid w:val="00CC1249"/>
    <w:rsid w:val="00CD4153"/>
    <w:rsid w:val="00CE53AE"/>
    <w:rsid w:val="00CE65BE"/>
    <w:rsid w:val="00CF1FF3"/>
    <w:rsid w:val="00CF5F48"/>
    <w:rsid w:val="00D115EA"/>
    <w:rsid w:val="00D147F1"/>
    <w:rsid w:val="00D23191"/>
    <w:rsid w:val="00D23346"/>
    <w:rsid w:val="00D263D5"/>
    <w:rsid w:val="00D3260A"/>
    <w:rsid w:val="00D46B34"/>
    <w:rsid w:val="00D5463F"/>
    <w:rsid w:val="00DD39FE"/>
    <w:rsid w:val="00DD5B52"/>
    <w:rsid w:val="00DE2ED7"/>
    <w:rsid w:val="00E00821"/>
    <w:rsid w:val="00E026ED"/>
    <w:rsid w:val="00E41ADB"/>
    <w:rsid w:val="00E44D22"/>
    <w:rsid w:val="00E528F3"/>
    <w:rsid w:val="00E622C9"/>
    <w:rsid w:val="00E629D3"/>
    <w:rsid w:val="00E67ED8"/>
    <w:rsid w:val="00E701AC"/>
    <w:rsid w:val="00E818D3"/>
    <w:rsid w:val="00E948B2"/>
    <w:rsid w:val="00EA1E18"/>
    <w:rsid w:val="00EA3502"/>
    <w:rsid w:val="00EE6A8D"/>
    <w:rsid w:val="00F148B0"/>
    <w:rsid w:val="00F22062"/>
    <w:rsid w:val="00F31565"/>
    <w:rsid w:val="00F81421"/>
    <w:rsid w:val="00F83DB9"/>
    <w:rsid w:val="00F84839"/>
    <w:rsid w:val="00FA6177"/>
    <w:rsid w:val="00FD14FA"/>
    <w:rsid w:val="00FF1CEA"/>
    <w:rsid w:val="00FF1E5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BFF0"/>
  <w15:docId w15:val="{BAA6AF58-640D-48E2-96E9-468EE7A2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580A2A"/>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580A2A"/>
    <w:rPr>
      <w:rFonts w:ascii="Tahoma" w:hAnsi="Tahoma" w:cs="Tahoma"/>
      <w:sz w:val="16"/>
      <w:szCs w:val="16"/>
      <w:lang w:eastAsia="en-US"/>
    </w:rPr>
  </w:style>
  <w:style w:type="character" w:styleId="a7">
    <w:name w:val="Unresolved Mention"/>
    <w:basedOn w:val="a0"/>
    <w:uiPriority w:val="99"/>
    <w:semiHidden/>
    <w:unhideWhenUsed/>
    <w:rsid w:val="00221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57195375">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955558">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egdy.gr/%ce%b1%ce%af%cf%84%ce%b7%ce%bc%ce%b1-%ce%b3%ce%b9%ce%b1-%cf%84%ce%b7%ce%bd-%ce%b1%cf%80%ce%bf%ce%ba%ce%b1%cf%84%ce%ac%cf%83%cf%84%ce%b1%cf%83%ce%b7-%cf%84%ce%b7%cf%82-%ce%bd%ce%bf%ce%bc%ce%b9%ce%b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6BEAC-1C66-45A8-A262-D1F52475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2952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3</cp:revision>
  <cp:lastPrinted>2022-11-28T09:18:00Z</cp:lastPrinted>
  <dcterms:created xsi:type="dcterms:W3CDTF">2026-05-19T10:02:00Z</dcterms:created>
  <dcterms:modified xsi:type="dcterms:W3CDTF">2026-05-19T10:13:00Z</dcterms:modified>
</cp:coreProperties>
</file>