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roofErr w:type="gramEnd"/>
          </w:p>
        </w:tc>
      </w:tr>
    </w:tbl>
    <w:p w14:paraId="6719D058" w14:textId="168CDE60"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0D08DA">
        <w:rPr>
          <w:rFonts w:ascii="Times New Roman" w:hAnsi="Times New Roman"/>
          <w:b/>
          <w:bCs/>
          <w:sz w:val="28"/>
          <w:szCs w:val="28"/>
        </w:rPr>
        <w:t xml:space="preserve">           </w:t>
      </w:r>
      <w:r w:rsidR="0070780B" w:rsidRPr="007E60F5">
        <w:rPr>
          <w:rFonts w:cs="Calibri"/>
          <w:b/>
          <w:bCs/>
          <w:sz w:val="28"/>
          <w:szCs w:val="28"/>
        </w:rPr>
        <w:t xml:space="preserve">Αθήνα, </w:t>
      </w:r>
      <w:r w:rsidR="005F0AB3">
        <w:rPr>
          <w:rFonts w:cs="Calibri"/>
          <w:b/>
          <w:bCs/>
          <w:sz w:val="28"/>
          <w:szCs w:val="28"/>
        </w:rPr>
        <w:t>1</w:t>
      </w:r>
      <w:r w:rsidR="00267E29">
        <w:rPr>
          <w:rFonts w:cs="Calibri"/>
          <w:b/>
          <w:bCs/>
          <w:sz w:val="28"/>
          <w:szCs w:val="28"/>
        </w:rPr>
        <w:t>3</w:t>
      </w:r>
      <w:r w:rsidR="0099797F" w:rsidRPr="007E60F5">
        <w:rPr>
          <w:rFonts w:cs="Calibri"/>
          <w:b/>
          <w:bCs/>
          <w:sz w:val="28"/>
          <w:szCs w:val="28"/>
        </w:rPr>
        <w:t>/</w:t>
      </w:r>
      <w:r w:rsidR="005F0AB3">
        <w:rPr>
          <w:rFonts w:cs="Calibri"/>
          <w:b/>
          <w:bCs/>
          <w:sz w:val="28"/>
          <w:szCs w:val="28"/>
        </w:rPr>
        <w:t>05</w:t>
      </w:r>
      <w:r w:rsidR="0099797F" w:rsidRPr="007E60F5">
        <w:rPr>
          <w:rFonts w:cs="Calibri"/>
          <w:b/>
          <w:bCs/>
          <w:sz w:val="28"/>
          <w:szCs w:val="28"/>
        </w:rPr>
        <w:t>/2026</w:t>
      </w:r>
      <w:bookmarkStart w:id="1" w:name="_Hlk219541323"/>
    </w:p>
    <w:p w14:paraId="05A2AB28" w14:textId="5CA99132" w:rsidR="000E31A8" w:rsidRPr="0098160B" w:rsidRDefault="0070780B" w:rsidP="0052578E">
      <w:pPr>
        <w:ind w:left="2880" w:firstLine="720"/>
        <w:jc w:val="both"/>
        <w:rPr>
          <w:rFonts w:ascii="Times New Roman" w:hAnsi="Times New Roman"/>
          <w:b/>
          <w:bCs/>
          <w:sz w:val="28"/>
          <w:szCs w:val="28"/>
        </w:rPr>
      </w:pPr>
      <w:r w:rsidRPr="0098160B">
        <w:rPr>
          <w:rFonts w:ascii="Times New Roman" w:hAnsi="Times New Roman"/>
          <w:b/>
          <w:bCs/>
          <w:sz w:val="28"/>
          <w:szCs w:val="28"/>
        </w:rPr>
        <w:t>ΔΕΛΤΙΟ ΤΥΠΟΥ</w:t>
      </w:r>
      <w:bookmarkEnd w:id="0"/>
      <w:bookmarkEnd w:id="1"/>
    </w:p>
    <w:p w14:paraId="52AD2996" w14:textId="50FA355A" w:rsidR="005F0AB3" w:rsidRPr="0098160B" w:rsidRDefault="00267E29" w:rsidP="00747DBE">
      <w:pPr>
        <w:pStyle w:val="Web"/>
        <w:jc w:val="center"/>
        <w:rPr>
          <w:rFonts w:eastAsia="Calibri"/>
          <w:b/>
          <w:bCs/>
          <w:sz w:val="28"/>
          <w:szCs w:val="28"/>
          <w:lang w:eastAsia="en-US"/>
        </w:rPr>
      </w:pPr>
      <w:r w:rsidRPr="0098160B">
        <w:rPr>
          <w:rFonts w:eastAsia="Calibri"/>
          <w:b/>
          <w:bCs/>
          <w:sz w:val="28"/>
          <w:szCs w:val="28"/>
          <w:lang w:eastAsia="en-US"/>
        </w:rPr>
        <w:t>Οι «ν</w:t>
      </w:r>
      <w:r w:rsidR="00F00E29">
        <w:rPr>
          <w:rFonts w:eastAsia="Calibri"/>
          <w:b/>
          <w:bCs/>
          <w:sz w:val="28"/>
          <w:szCs w:val="28"/>
          <w:lang w:eastAsia="en-US"/>
        </w:rPr>
        <w:t>-</w:t>
      </w:r>
      <w:r w:rsidRPr="0098160B">
        <w:rPr>
          <w:rFonts w:eastAsia="Calibri"/>
          <w:b/>
          <w:bCs/>
          <w:sz w:val="28"/>
          <w:szCs w:val="28"/>
          <w:lang w:eastAsia="en-US"/>
        </w:rPr>
        <w:t>τροπολογίες»</w:t>
      </w:r>
      <w:r w:rsidR="005F0AB3" w:rsidRPr="0098160B">
        <w:rPr>
          <w:rFonts w:eastAsia="Calibri"/>
          <w:b/>
          <w:bCs/>
          <w:sz w:val="28"/>
          <w:szCs w:val="28"/>
          <w:lang w:eastAsia="en-US"/>
        </w:rPr>
        <w:t xml:space="preserve"> </w:t>
      </w:r>
      <w:r w:rsidRPr="0098160B">
        <w:rPr>
          <w:rFonts w:eastAsia="Calibri"/>
          <w:b/>
          <w:bCs/>
          <w:sz w:val="28"/>
          <w:szCs w:val="28"/>
          <w:lang w:eastAsia="en-US"/>
        </w:rPr>
        <w:t>της νύχτας συνεχίζονται με λεία το</w:t>
      </w:r>
      <w:r w:rsidR="00A7784A" w:rsidRPr="0098160B">
        <w:rPr>
          <w:rFonts w:eastAsia="Calibri"/>
          <w:b/>
          <w:bCs/>
          <w:sz w:val="28"/>
          <w:szCs w:val="28"/>
          <w:lang w:eastAsia="en-US"/>
        </w:rPr>
        <w:t xml:space="preserve"> Ταμείο Ανάκαμψης </w:t>
      </w:r>
      <w:r w:rsidRPr="0098160B">
        <w:rPr>
          <w:rFonts w:eastAsia="Calibri"/>
          <w:b/>
          <w:bCs/>
          <w:sz w:val="28"/>
          <w:szCs w:val="28"/>
          <w:lang w:eastAsia="en-US"/>
        </w:rPr>
        <w:t xml:space="preserve"> </w:t>
      </w:r>
      <w:r w:rsidR="00747DBE">
        <w:rPr>
          <w:rFonts w:eastAsia="Calibri"/>
          <w:b/>
          <w:bCs/>
          <w:sz w:val="28"/>
          <w:szCs w:val="28"/>
          <w:lang w:eastAsia="en-US"/>
        </w:rPr>
        <w:t>και Ανθεκτικότητας</w:t>
      </w:r>
    </w:p>
    <w:p w14:paraId="19808FC6" w14:textId="7463147E"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 xml:space="preserve">Μετά το χθεσινό </w:t>
      </w:r>
      <w:hyperlink r:id="rId5" w:history="1">
        <w:r w:rsidRPr="00660839">
          <w:rPr>
            <w:rStyle w:val="-"/>
            <w:sz w:val="28"/>
            <w:szCs w:val="28"/>
          </w:rPr>
          <w:t>Δελτίο Τύπου της Ομοσπονδίας μας</w:t>
        </w:r>
      </w:hyperlink>
      <w:r w:rsidRPr="00607B14">
        <w:rPr>
          <w:sz w:val="28"/>
          <w:szCs w:val="28"/>
        </w:rPr>
        <w:t xml:space="preserve">, με το οποίο καταγγείλαμε την κυβέρνηση για την παταγώδη αποτυχία της, που οδήγησε στην </w:t>
      </w:r>
      <w:proofErr w:type="spellStart"/>
      <w:r w:rsidRPr="00607B14">
        <w:rPr>
          <w:sz w:val="28"/>
          <w:szCs w:val="28"/>
        </w:rPr>
        <w:t>απένταξη</w:t>
      </w:r>
      <w:proofErr w:type="spellEnd"/>
      <w:r w:rsidRPr="00607B14">
        <w:rPr>
          <w:sz w:val="28"/>
          <w:szCs w:val="28"/>
        </w:rPr>
        <w:t xml:space="preserve"> εμβληματικών αρδευτικών έργων από το Ταμείο Ανάκαμψης και Ανθεκτικότητας (Τ.Α.Α.), διαπιστώσαμε έκπληκτοι σήμερα το πρωί ότι, αργά μέσα στη νύχτα, κατατέθηκε μία ακόμη «ν</w:t>
      </w:r>
      <w:r w:rsidRPr="00607B14">
        <w:rPr>
          <w:sz w:val="28"/>
          <w:szCs w:val="28"/>
        </w:rPr>
        <w:noBreakHyphen/>
        <w:t>τροπολογία» που αφορά το εν λόγω Ταμείο.</w:t>
      </w:r>
    </w:p>
    <w:p w14:paraId="74184CB6" w14:textId="4ED2EA61"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Συγκεκριμένα, σε υπό ψήφιση νομοσχέδιο του Υπουργείου Εθνικής Οικονομίας και Οικονομικών, με τίτλο:</w:t>
      </w:r>
      <w:r w:rsidR="00FF132B">
        <w:rPr>
          <w:sz w:val="28"/>
          <w:szCs w:val="28"/>
        </w:rPr>
        <w:t xml:space="preserve"> </w:t>
      </w:r>
      <w:r w:rsidRPr="00607B14">
        <w:rPr>
          <w:rStyle w:val="a4"/>
          <w:sz w:val="28"/>
          <w:szCs w:val="28"/>
        </w:rPr>
        <w:t>«Διοικητική συνεργασία στον Τομέα της φορολογίας, Ενσωμάτωση της Οδηγίας (ΕΕ) 2023/2226 του Συμβουλίου της 17ης Οκτωβρίου 2023 και της Οδηγίας (ΕΕ) 2025/872 του Συμβουλίου της 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r w:rsidRPr="00607B14">
        <w:rPr>
          <w:sz w:val="28"/>
          <w:szCs w:val="28"/>
        </w:rPr>
        <w:t>,</w:t>
      </w:r>
      <w:r>
        <w:rPr>
          <w:sz w:val="28"/>
          <w:szCs w:val="28"/>
        </w:rPr>
        <w:t xml:space="preserve"> </w:t>
      </w:r>
      <w:r w:rsidRPr="00607B14">
        <w:rPr>
          <w:sz w:val="28"/>
          <w:szCs w:val="28"/>
        </w:rPr>
        <w:t xml:space="preserve">εισήχθη τροποποίηση του </w:t>
      </w:r>
      <w:r w:rsidRPr="00607B14">
        <w:rPr>
          <w:rStyle w:val="a3"/>
          <w:sz w:val="28"/>
          <w:szCs w:val="28"/>
        </w:rPr>
        <w:t>άρθρου 45 του ν. 5087/2024</w:t>
      </w:r>
      <w:r w:rsidRPr="00607B14">
        <w:rPr>
          <w:sz w:val="28"/>
          <w:szCs w:val="28"/>
        </w:rPr>
        <w:t xml:space="preserve">, με την οποία εισάγονται από το «παράθυρο», ως </w:t>
      </w:r>
      <w:proofErr w:type="spellStart"/>
      <w:r w:rsidRPr="00607B14">
        <w:rPr>
          <w:sz w:val="28"/>
          <w:szCs w:val="28"/>
        </w:rPr>
        <w:t>αξιολογητές</w:t>
      </w:r>
      <w:proofErr w:type="spellEnd"/>
      <w:r w:rsidRPr="00607B14">
        <w:rPr>
          <w:sz w:val="28"/>
          <w:szCs w:val="28"/>
        </w:rPr>
        <w:t xml:space="preserve"> και ελεγκτές των επενδυτικών σχεδίων του Υπουργείου Αγροτικής Ανάπτυξης και Τροφίμων (</w:t>
      </w:r>
      <w:proofErr w:type="spellStart"/>
      <w:r w:rsidRPr="00607B14">
        <w:rPr>
          <w:sz w:val="28"/>
          <w:szCs w:val="28"/>
        </w:rPr>
        <w:t>Υπ.Α.Α.Τ</w:t>
      </w:r>
      <w:proofErr w:type="spellEnd"/>
      <w:r w:rsidRPr="00607B14">
        <w:rPr>
          <w:sz w:val="28"/>
          <w:szCs w:val="28"/>
        </w:rPr>
        <w:t>), που χρηματοδοτούνται από το Τ.Α.Α., οι ορκωτοί λογιστές και οι ελεγκτικές εταιρείες.</w:t>
      </w:r>
    </w:p>
    <w:p w14:paraId="6343C6C8" w14:textId="77777777"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Με λίγα λόγια, η κυβέρνηση ανοίγει διάπλατα την πόρτα σε ιδιώτες, των οποίων η κύρια επιστημονική εξειδίκευση περιορίζεται στο οικονομικό αντικείμενο, προκειμένου να αξιολογούν και να ελέγχουν επενδυτικά σχέδια καθαρά γεωτεχνικής κατεύθυνσης. Πρόκειται για μία κραυγαλέα στρέβλωση της επιστημονικής επάρκειας και μια επικίνδυνη υποβάθμιση του αντικειμένου των γεωτεχνικών.</w:t>
      </w:r>
    </w:p>
    <w:p w14:paraId="3A2DD507" w14:textId="5FF17FB5"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Στην ουσία πρόκειται για ένα ωμό ξεπούλημα αρμοδιοτήτων και δημόσιου έργου. Μάλιστα, επιχειρείται να γίνει «</w:t>
      </w:r>
      <w:proofErr w:type="spellStart"/>
      <w:r w:rsidRPr="00607B14">
        <w:rPr>
          <w:sz w:val="28"/>
          <w:szCs w:val="28"/>
        </w:rPr>
        <w:t>πεπτό</w:t>
      </w:r>
      <w:proofErr w:type="spellEnd"/>
      <w:r w:rsidRPr="00607B14">
        <w:rPr>
          <w:sz w:val="28"/>
          <w:szCs w:val="28"/>
        </w:rPr>
        <w:t>» στους Γεωτεχνικούς Δημοσίους Υπαλλήλους, με το γνωστό τέχνασμα του «χρυσώματος του χαπιού», μέσω αύξησης των αποδοχών των ελεγκτών στο δεύτερο μέρος της ίδιας «ν</w:t>
      </w:r>
      <w:r w:rsidRPr="00607B14">
        <w:rPr>
          <w:sz w:val="28"/>
          <w:szCs w:val="28"/>
        </w:rPr>
        <w:noBreakHyphen/>
        <w:t>τροπολογίας», η οποία –όπως αναφέρεται και στην εισηγητική έκθεση– χαρακτηρίζεται ως δημοσιονομικά ουδέτερη.</w:t>
      </w:r>
    </w:p>
    <w:p w14:paraId="0B523660" w14:textId="77777777"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Δεν μπορούμε να αγνοήσουμε τον χαρακτήρα αυτής της «νυχτερινής συναλλαγής». Είναι προφανές ότι τα «τηλέφωνα» πήραν φωτιά, ότι συμφωνίες κλείστηκαν ερήμην κάθε θεσμικής διαδικασίας, και ότι το αλισβερίσι ολοκληρώθηκε στο σκοτάδι, χωρίς καμία απολύτως διαβούλευση και χωρίς ίχνος διαφάνειας.</w:t>
      </w:r>
    </w:p>
    <w:p w14:paraId="6BFCC9A1" w14:textId="77777777"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 xml:space="preserve">Η νέα, «πολλά υποσχόμενη» πολιτική ηγεσία του </w:t>
      </w:r>
      <w:proofErr w:type="spellStart"/>
      <w:r w:rsidRPr="00607B14">
        <w:rPr>
          <w:sz w:val="28"/>
          <w:szCs w:val="28"/>
        </w:rPr>
        <w:t>Υπ.Α.Α.Τ</w:t>
      </w:r>
      <w:proofErr w:type="spellEnd"/>
      <w:r w:rsidRPr="00607B14">
        <w:rPr>
          <w:sz w:val="28"/>
          <w:szCs w:val="28"/>
        </w:rPr>
        <w:t xml:space="preserve"> αποδεικνύει με τον πιο απροκάλυπτο τρόπο ότι υιοθετεί με ταχύτητα και συνέπεια τις πιο ακραίες πρακτικές </w:t>
      </w:r>
      <w:r w:rsidRPr="00607B14">
        <w:rPr>
          <w:sz w:val="28"/>
          <w:szCs w:val="28"/>
        </w:rPr>
        <w:lastRenderedPageBreak/>
        <w:t>εκχώρησης δημόσιου έργου. Ξεκίνησε ήδη το ξεπούλημα κρίσιμων αντικειμένων σε ιδιώτες – και μάλιστα σε πρόσωπα που δεν διαθέτουν τη σχετική επιστημονική συνάφεια.</w:t>
      </w:r>
    </w:p>
    <w:p w14:paraId="5BD00DA3" w14:textId="77777777" w:rsidR="00607B14" w:rsidRPr="00607B14" w:rsidRDefault="00607B14" w:rsidP="00607B14">
      <w:pPr>
        <w:pStyle w:val="Web"/>
        <w:spacing w:before="0" w:beforeAutospacing="0" w:after="0" w:afterAutospacing="0" w:line="276" w:lineRule="auto"/>
        <w:jc w:val="both"/>
        <w:rPr>
          <w:sz w:val="28"/>
          <w:szCs w:val="28"/>
        </w:rPr>
      </w:pPr>
      <w:r w:rsidRPr="00607B14">
        <w:rPr>
          <w:sz w:val="28"/>
          <w:szCs w:val="28"/>
        </w:rPr>
        <w:t>Η Π.Ο.ΓΕ.Δ.Υ. καταγγέλλει απερίφραστα την κυβέρνηση για ύποπτες μεθοδεύσεις που υπονομεύουν το δημόσιο συμφέρον και απαξιώνουν τους Γεωτεχνικούς του Δημοσίου. Δηλώνουμε κατηγορηματικά ότι δεν πρόκειται να ανεχθούμε τέτοιου είδους κοροϊδία, ούτε να αποδεχθούμε τετελεσμένα που στήνονται στο σκοτάδι.</w:t>
      </w:r>
    </w:p>
    <w:p w14:paraId="57A812A3" w14:textId="77777777" w:rsidR="00607B14" w:rsidRDefault="00607B14" w:rsidP="00607B14">
      <w:pPr>
        <w:pStyle w:val="Web"/>
        <w:spacing w:before="0" w:beforeAutospacing="0" w:after="0" w:afterAutospacing="0" w:line="276" w:lineRule="auto"/>
        <w:jc w:val="both"/>
        <w:rPr>
          <w:rFonts w:ascii="Segoe UI" w:hAnsi="Segoe UI" w:cs="Segoe UI"/>
          <w:sz w:val="21"/>
          <w:szCs w:val="21"/>
        </w:rPr>
      </w:pPr>
      <w:r w:rsidRPr="00607B14">
        <w:rPr>
          <w:sz w:val="28"/>
          <w:szCs w:val="28"/>
        </w:rPr>
        <w:t xml:space="preserve">Καλούμε άμεσα το </w:t>
      </w:r>
      <w:proofErr w:type="spellStart"/>
      <w:r w:rsidRPr="00607B14">
        <w:rPr>
          <w:sz w:val="28"/>
          <w:szCs w:val="28"/>
        </w:rPr>
        <w:t>Υπ.Α.Α.Τ</w:t>
      </w:r>
      <w:proofErr w:type="spellEnd"/>
      <w:r w:rsidRPr="00607B14">
        <w:rPr>
          <w:sz w:val="28"/>
          <w:szCs w:val="28"/>
        </w:rPr>
        <w:t xml:space="preserve"> να αποσύρει τη συγκεκριμένη «ν</w:t>
      </w:r>
      <w:r w:rsidRPr="00607B14">
        <w:rPr>
          <w:sz w:val="28"/>
          <w:szCs w:val="28"/>
        </w:rPr>
        <w:noBreakHyphen/>
        <w:t>τροπολογία». Σε διαφορετική περίπτωση, θα εξετάσουμε πολύ σοβαρά το ενδεχόμενο να καλέσουμε τους συναδέλφους Γεωτεχνικούς Δημοσίους Υπαλλήλους να απέχουν από κάθε διαδικασία αξιολόγησης και ελέγχου των επενδυτικών σχεδίων που χρηματοδοτούνται από το Τ.Α.Α., με ό,τι αυτό συνεπάγεται για την υλοποίηση των σχετικών δράσεων</w:t>
      </w:r>
      <w:r>
        <w:rPr>
          <w:rFonts w:ascii="Segoe UI" w:hAnsi="Segoe UI" w:cs="Segoe UI"/>
          <w:sz w:val="21"/>
          <w:szCs w:val="21"/>
        </w:rPr>
        <w:t>.</w:t>
      </w:r>
    </w:p>
    <w:p w14:paraId="31DF36B8" w14:textId="7CD628EC" w:rsidR="005F0AB3" w:rsidRPr="001821E5" w:rsidRDefault="00C56585" w:rsidP="005F0AB3">
      <w:pPr>
        <w:spacing w:after="150" w:line="240" w:lineRule="auto"/>
        <w:rPr>
          <w:rFonts w:ascii="Arial" w:eastAsia="Times New Roman" w:hAnsi="Arial" w:cs="Arial"/>
          <w:color w:val="1F1F1F"/>
          <w:lang w:eastAsia="el-GR"/>
        </w:rPr>
      </w:pPr>
      <w:r>
        <w:rPr>
          <w:rFonts w:ascii="Times New Roman" w:eastAsia="Times New Roman" w:hAnsi="Times New Roman"/>
          <w:color w:val="1F1F1F"/>
          <w:sz w:val="28"/>
          <w:szCs w:val="28"/>
          <w:lang w:eastAsia="el-GR"/>
        </w:rPr>
        <w:t xml:space="preserve"> </w:t>
      </w:r>
    </w:p>
    <w:p w14:paraId="410374E7" w14:textId="50D3F2ED" w:rsidR="000E3718" w:rsidRDefault="00EE16F8" w:rsidP="000E3718">
      <w:pPr>
        <w:pStyle w:val="Web"/>
      </w:pPr>
      <w:r>
        <w:t xml:space="preserve">      </w:t>
      </w:r>
      <w:r w:rsidR="003D302F">
        <w:t xml:space="preserve">    </w:t>
      </w:r>
      <w:r>
        <w:t xml:space="preserve"> </w:t>
      </w:r>
    </w:p>
    <w:p w14:paraId="78DEB393" w14:textId="77777777" w:rsidR="000E3718" w:rsidRPr="0046503D" w:rsidRDefault="000E3718" w:rsidP="0046503D">
      <w:pPr>
        <w:spacing w:after="160" w:line="252" w:lineRule="auto"/>
        <w:jc w:val="both"/>
        <w:rPr>
          <w:rFonts w:cs="Calibri"/>
          <w:sz w:val="26"/>
          <w:szCs w:val="26"/>
        </w:rPr>
      </w:pP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3B7A6763" w:rsidR="00842E46" w:rsidRPr="00842E46" w:rsidRDefault="00FA63CA" w:rsidP="000E31A8">
      <w:pPr>
        <w:spacing w:before="120"/>
        <w:ind w:left="5040" w:firstLine="720"/>
        <w:jc w:val="center"/>
        <w:rPr>
          <w:rFonts w:ascii="Times New Roman" w:hAnsi="Times New Roman"/>
          <w:b/>
          <w:bCs/>
          <w:sz w:val="28"/>
          <w:szCs w:val="28"/>
        </w:rPr>
      </w:pPr>
      <w:r>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52578E">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C48C1"/>
    <w:multiLevelType w:val="multilevel"/>
    <w:tmpl w:val="C45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426"/>
    <w:multiLevelType w:val="hybridMultilevel"/>
    <w:tmpl w:val="54C69816"/>
    <w:lvl w:ilvl="0" w:tplc="8794C3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97C13"/>
    <w:multiLevelType w:val="multilevel"/>
    <w:tmpl w:val="4AA2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255F"/>
    <w:multiLevelType w:val="multilevel"/>
    <w:tmpl w:val="CEB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9155BB"/>
    <w:multiLevelType w:val="hybridMultilevel"/>
    <w:tmpl w:val="11264336"/>
    <w:lvl w:ilvl="0" w:tplc="04080001">
      <w:start w:val="1"/>
      <w:numFmt w:val="bullet"/>
      <w:lvlText w:val=""/>
      <w:lvlJc w:val="left"/>
      <w:pPr>
        <w:ind w:left="972" w:hanging="612"/>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A0F2CF9"/>
    <w:multiLevelType w:val="multilevel"/>
    <w:tmpl w:val="FF4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3"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B846B9"/>
    <w:multiLevelType w:val="hybridMultilevel"/>
    <w:tmpl w:val="DD98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978"/>
    <w:multiLevelType w:val="hybridMultilevel"/>
    <w:tmpl w:val="5E6244B2"/>
    <w:lvl w:ilvl="0" w:tplc="04080001">
      <w:start w:val="1"/>
      <w:numFmt w:val="bullet"/>
      <w:lvlText w:val=""/>
      <w:lvlJc w:val="left"/>
      <w:pPr>
        <w:ind w:left="972"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750087"/>
    <w:multiLevelType w:val="multilevel"/>
    <w:tmpl w:val="CCB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038CE"/>
    <w:multiLevelType w:val="multilevel"/>
    <w:tmpl w:val="037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4A461A2D"/>
    <w:multiLevelType w:val="multilevel"/>
    <w:tmpl w:val="EA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8"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681E08BA"/>
    <w:multiLevelType w:val="multilevel"/>
    <w:tmpl w:val="0BFA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5E344B8"/>
    <w:multiLevelType w:val="multilevel"/>
    <w:tmpl w:val="234E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6"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36"/>
  </w:num>
  <w:num w:numId="3" w16cid:durableId="808405617">
    <w:abstractNumId w:val="22"/>
  </w:num>
  <w:num w:numId="4" w16cid:durableId="616058198">
    <w:abstractNumId w:val="23"/>
  </w:num>
  <w:num w:numId="5" w16cid:durableId="773017589">
    <w:abstractNumId w:val="30"/>
  </w:num>
  <w:num w:numId="6" w16cid:durableId="1998917099">
    <w:abstractNumId w:val="27"/>
  </w:num>
  <w:num w:numId="7" w16cid:durableId="342365300">
    <w:abstractNumId w:val="12"/>
  </w:num>
  <w:num w:numId="8" w16cid:durableId="2035762481">
    <w:abstractNumId w:val="26"/>
  </w:num>
  <w:num w:numId="9" w16cid:durableId="341667663">
    <w:abstractNumId w:val="8"/>
  </w:num>
  <w:num w:numId="10" w16cid:durableId="1708138720">
    <w:abstractNumId w:val="32"/>
  </w:num>
  <w:num w:numId="11" w16cid:durableId="31811766">
    <w:abstractNumId w:val="5"/>
  </w:num>
  <w:num w:numId="12" w16cid:durableId="744036597">
    <w:abstractNumId w:val="10"/>
  </w:num>
  <w:num w:numId="13" w16cid:durableId="1958637878">
    <w:abstractNumId w:val="15"/>
  </w:num>
  <w:num w:numId="14" w16cid:durableId="1253389672">
    <w:abstractNumId w:val="28"/>
  </w:num>
  <w:num w:numId="15" w16cid:durableId="93370680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35"/>
  </w:num>
  <w:num w:numId="17" w16cid:durableId="1212616730">
    <w:abstractNumId w:val="25"/>
  </w:num>
  <w:num w:numId="18" w16cid:durableId="233049526">
    <w:abstractNumId w:val="14"/>
  </w:num>
  <w:num w:numId="19" w16cid:durableId="1928271490">
    <w:abstractNumId w:val="13"/>
  </w:num>
  <w:num w:numId="20" w16cid:durableId="790324321">
    <w:abstractNumId w:val="29"/>
  </w:num>
  <w:num w:numId="21" w16cid:durableId="789662197">
    <w:abstractNumId w:val="6"/>
  </w:num>
  <w:num w:numId="22" w16cid:durableId="751467502">
    <w:abstractNumId w:val="17"/>
  </w:num>
  <w:num w:numId="23" w16cid:durableId="1727560481">
    <w:abstractNumId w:val="20"/>
  </w:num>
  <w:num w:numId="24" w16cid:durableId="956571204">
    <w:abstractNumId w:val="9"/>
  </w:num>
  <w:num w:numId="25" w16cid:durableId="1047797544">
    <w:abstractNumId w:val="11"/>
  </w:num>
  <w:num w:numId="26" w16cid:durableId="682636292">
    <w:abstractNumId w:val="1"/>
  </w:num>
  <w:num w:numId="27" w16cid:durableId="1561985911">
    <w:abstractNumId w:val="24"/>
  </w:num>
  <w:num w:numId="28" w16cid:durableId="1739286415">
    <w:abstractNumId w:val="4"/>
  </w:num>
  <w:num w:numId="29" w16cid:durableId="2047290322">
    <w:abstractNumId w:val="2"/>
  </w:num>
  <w:num w:numId="30" w16cid:durableId="1133906612">
    <w:abstractNumId w:val="16"/>
  </w:num>
  <w:num w:numId="31" w16cid:durableId="1833713477">
    <w:abstractNumId w:val="7"/>
  </w:num>
  <w:num w:numId="32" w16cid:durableId="2038660031">
    <w:abstractNumId w:val="18"/>
  </w:num>
  <w:num w:numId="33" w16cid:durableId="2054309255">
    <w:abstractNumId w:val="34"/>
  </w:num>
  <w:num w:numId="34" w16cid:durableId="762652205">
    <w:abstractNumId w:val="3"/>
  </w:num>
  <w:num w:numId="35" w16cid:durableId="563297263">
    <w:abstractNumId w:val="19"/>
  </w:num>
  <w:num w:numId="36" w16cid:durableId="1834224024">
    <w:abstractNumId w:val="31"/>
  </w:num>
  <w:num w:numId="37" w16cid:durableId="1259288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23A03"/>
    <w:rsid w:val="00032CF2"/>
    <w:rsid w:val="00037894"/>
    <w:rsid w:val="000416A9"/>
    <w:rsid w:val="00042AE4"/>
    <w:rsid w:val="00042F9E"/>
    <w:rsid w:val="00044EBC"/>
    <w:rsid w:val="00045B57"/>
    <w:rsid w:val="00061829"/>
    <w:rsid w:val="0007175D"/>
    <w:rsid w:val="00072B5B"/>
    <w:rsid w:val="00075A5D"/>
    <w:rsid w:val="000801FF"/>
    <w:rsid w:val="00093D4D"/>
    <w:rsid w:val="00095A1A"/>
    <w:rsid w:val="00095B7C"/>
    <w:rsid w:val="000B170D"/>
    <w:rsid w:val="000B2AF7"/>
    <w:rsid w:val="000B3AE9"/>
    <w:rsid w:val="000B6288"/>
    <w:rsid w:val="000C7053"/>
    <w:rsid w:val="000D08DA"/>
    <w:rsid w:val="000D6A7C"/>
    <w:rsid w:val="000D706D"/>
    <w:rsid w:val="000E31A8"/>
    <w:rsid w:val="000E3212"/>
    <w:rsid w:val="000E3718"/>
    <w:rsid w:val="000F0A9C"/>
    <w:rsid w:val="000F549C"/>
    <w:rsid w:val="0011039E"/>
    <w:rsid w:val="00113AA9"/>
    <w:rsid w:val="00122901"/>
    <w:rsid w:val="001258FA"/>
    <w:rsid w:val="001353C6"/>
    <w:rsid w:val="00140E46"/>
    <w:rsid w:val="00143388"/>
    <w:rsid w:val="00144D11"/>
    <w:rsid w:val="00150AA2"/>
    <w:rsid w:val="00152D19"/>
    <w:rsid w:val="00164BC4"/>
    <w:rsid w:val="0016549A"/>
    <w:rsid w:val="00175F49"/>
    <w:rsid w:val="001801F9"/>
    <w:rsid w:val="00187890"/>
    <w:rsid w:val="00192084"/>
    <w:rsid w:val="0019380C"/>
    <w:rsid w:val="00193D93"/>
    <w:rsid w:val="001970A1"/>
    <w:rsid w:val="001B2523"/>
    <w:rsid w:val="001D70FB"/>
    <w:rsid w:val="001D77CF"/>
    <w:rsid w:val="001F3391"/>
    <w:rsid w:val="001F3EAD"/>
    <w:rsid w:val="001F626C"/>
    <w:rsid w:val="002146C0"/>
    <w:rsid w:val="002209BB"/>
    <w:rsid w:val="0023184D"/>
    <w:rsid w:val="002334D5"/>
    <w:rsid w:val="00235ECC"/>
    <w:rsid w:val="00250730"/>
    <w:rsid w:val="00260CAD"/>
    <w:rsid w:val="002616E9"/>
    <w:rsid w:val="00265E2D"/>
    <w:rsid w:val="00267E29"/>
    <w:rsid w:val="0027531B"/>
    <w:rsid w:val="002778C0"/>
    <w:rsid w:val="00277B48"/>
    <w:rsid w:val="00283A86"/>
    <w:rsid w:val="002A17DF"/>
    <w:rsid w:val="002B0CEE"/>
    <w:rsid w:val="002C1A04"/>
    <w:rsid w:val="002C3160"/>
    <w:rsid w:val="002C492A"/>
    <w:rsid w:val="002D4AC2"/>
    <w:rsid w:val="002E2101"/>
    <w:rsid w:val="002F764E"/>
    <w:rsid w:val="0031532B"/>
    <w:rsid w:val="00316345"/>
    <w:rsid w:val="00322FF2"/>
    <w:rsid w:val="003314B3"/>
    <w:rsid w:val="0033580B"/>
    <w:rsid w:val="00335CD8"/>
    <w:rsid w:val="00343378"/>
    <w:rsid w:val="00350422"/>
    <w:rsid w:val="0035772F"/>
    <w:rsid w:val="00363F9F"/>
    <w:rsid w:val="00372B2E"/>
    <w:rsid w:val="003732AF"/>
    <w:rsid w:val="00375B8B"/>
    <w:rsid w:val="00394363"/>
    <w:rsid w:val="00394AF0"/>
    <w:rsid w:val="003A328F"/>
    <w:rsid w:val="003A4624"/>
    <w:rsid w:val="003B476C"/>
    <w:rsid w:val="003C2F93"/>
    <w:rsid w:val="003C338A"/>
    <w:rsid w:val="003D302F"/>
    <w:rsid w:val="003D7E34"/>
    <w:rsid w:val="003F0E0C"/>
    <w:rsid w:val="003F3A97"/>
    <w:rsid w:val="00407C77"/>
    <w:rsid w:val="00421E14"/>
    <w:rsid w:val="00436DBB"/>
    <w:rsid w:val="00445A88"/>
    <w:rsid w:val="004551AD"/>
    <w:rsid w:val="0046503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5F0AB3"/>
    <w:rsid w:val="00606F88"/>
    <w:rsid w:val="00607B14"/>
    <w:rsid w:val="0062468F"/>
    <w:rsid w:val="0063335C"/>
    <w:rsid w:val="00637378"/>
    <w:rsid w:val="00645751"/>
    <w:rsid w:val="006462F2"/>
    <w:rsid w:val="006507BF"/>
    <w:rsid w:val="00653902"/>
    <w:rsid w:val="006567DE"/>
    <w:rsid w:val="00660839"/>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47DBE"/>
    <w:rsid w:val="007639F1"/>
    <w:rsid w:val="00773BA0"/>
    <w:rsid w:val="0077413F"/>
    <w:rsid w:val="007759AC"/>
    <w:rsid w:val="00776D1B"/>
    <w:rsid w:val="007775BC"/>
    <w:rsid w:val="007805B8"/>
    <w:rsid w:val="007973F8"/>
    <w:rsid w:val="007A4519"/>
    <w:rsid w:val="007B40F6"/>
    <w:rsid w:val="007C59DF"/>
    <w:rsid w:val="007E0778"/>
    <w:rsid w:val="007E4951"/>
    <w:rsid w:val="007E60F5"/>
    <w:rsid w:val="007F5648"/>
    <w:rsid w:val="0080520B"/>
    <w:rsid w:val="0081113B"/>
    <w:rsid w:val="008418D8"/>
    <w:rsid w:val="00842E46"/>
    <w:rsid w:val="0084461C"/>
    <w:rsid w:val="0085143A"/>
    <w:rsid w:val="0085510B"/>
    <w:rsid w:val="00866852"/>
    <w:rsid w:val="0089227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4090F"/>
    <w:rsid w:val="0095094D"/>
    <w:rsid w:val="00963CF1"/>
    <w:rsid w:val="009647F7"/>
    <w:rsid w:val="00972571"/>
    <w:rsid w:val="00974A4C"/>
    <w:rsid w:val="00975546"/>
    <w:rsid w:val="009765FF"/>
    <w:rsid w:val="00980584"/>
    <w:rsid w:val="0098160B"/>
    <w:rsid w:val="009869A5"/>
    <w:rsid w:val="009875DA"/>
    <w:rsid w:val="009878C8"/>
    <w:rsid w:val="00987A30"/>
    <w:rsid w:val="00987BBD"/>
    <w:rsid w:val="0099797F"/>
    <w:rsid w:val="009B2C0A"/>
    <w:rsid w:val="009B3FC3"/>
    <w:rsid w:val="009C4E2A"/>
    <w:rsid w:val="009D0832"/>
    <w:rsid w:val="009E2678"/>
    <w:rsid w:val="009E2718"/>
    <w:rsid w:val="009F4164"/>
    <w:rsid w:val="00A03D9D"/>
    <w:rsid w:val="00A05118"/>
    <w:rsid w:val="00A072D9"/>
    <w:rsid w:val="00A0756B"/>
    <w:rsid w:val="00A16046"/>
    <w:rsid w:val="00A233C9"/>
    <w:rsid w:val="00A24689"/>
    <w:rsid w:val="00A2474B"/>
    <w:rsid w:val="00A33CE4"/>
    <w:rsid w:val="00A34336"/>
    <w:rsid w:val="00A36277"/>
    <w:rsid w:val="00A371D8"/>
    <w:rsid w:val="00A37EAC"/>
    <w:rsid w:val="00A647A3"/>
    <w:rsid w:val="00A65F17"/>
    <w:rsid w:val="00A665FA"/>
    <w:rsid w:val="00A7000E"/>
    <w:rsid w:val="00A73A7C"/>
    <w:rsid w:val="00A7784A"/>
    <w:rsid w:val="00A872A8"/>
    <w:rsid w:val="00A90934"/>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0A4C"/>
    <w:rsid w:val="00B82BF4"/>
    <w:rsid w:val="00B8385F"/>
    <w:rsid w:val="00BA47CF"/>
    <w:rsid w:val="00BA6576"/>
    <w:rsid w:val="00BB58DC"/>
    <w:rsid w:val="00BB6E1B"/>
    <w:rsid w:val="00BC193A"/>
    <w:rsid w:val="00BC37C2"/>
    <w:rsid w:val="00BC5351"/>
    <w:rsid w:val="00BD026A"/>
    <w:rsid w:val="00BE4278"/>
    <w:rsid w:val="00C048E4"/>
    <w:rsid w:val="00C13C35"/>
    <w:rsid w:val="00C1727D"/>
    <w:rsid w:val="00C2077E"/>
    <w:rsid w:val="00C270E3"/>
    <w:rsid w:val="00C31F46"/>
    <w:rsid w:val="00C331C3"/>
    <w:rsid w:val="00C50002"/>
    <w:rsid w:val="00C51AB9"/>
    <w:rsid w:val="00C5543D"/>
    <w:rsid w:val="00C56585"/>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074A4"/>
    <w:rsid w:val="00D115EA"/>
    <w:rsid w:val="00D17447"/>
    <w:rsid w:val="00D204E1"/>
    <w:rsid w:val="00D23346"/>
    <w:rsid w:val="00D23C74"/>
    <w:rsid w:val="00D304A3"/>
    <w:rsid w:val="00D332E1"/>
    <w:rsid w:val="00D5463F"/>
    <w:rsid w:val="00D7144E"/>
    <w:rsid w:val="00D76F69"/>
    <w:rsid w:val="00DA4A59"/>
    <w:rsid w:val="00DA5D16"/>
    <w:rsid w:val="00DB0711"/>
    <w:rsid w:val="00DB6323"/>
    <w:rsid w:val="00DB7961"/>
    <w:rsid w:val="00DC3E5C"/>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16F8"/>
    <w:rsid w:val="00EE6A8D"/>
    <w:rsid w:val="00EF0004"/>
    <w:rsid w:val="00EF049B"/>
    <w:rsid w:val="00F00E29"/>
    <w:rsid w:val="00F22062"/>
    <w:rsid w:val="00F3041C"/>
    <w:rsid w:val="00F43BEF"/>
    <w:rsid w:val="00F6109D"/>
    <w:rsid w:val="00F751CD"/>
    <w:rsid w:val="00F81421"/>
    <w:rsid w:val="00F84599"/>
    <w:rsid w:val="00FA6177"/>
    <w:rsid w:val="00FA63CA"/>
    <w:rsid w:val="00FB4E34"/>
    <w:rsid w:val="00FC04AB"/>
    <w:rsid w:val="00FD14FA"/>
    <w:rsid w:val="00FD2DD8"/>
    <w:rsid w:val="00FF132B"/>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 w:type="character" w:styleId="aa">
    <w:name w:val="Unresolved Mention"/>
    <w:basedOn w:val="a0"/>
    <w:uiPriority w:val="99"/>
    <w:semiHidden/>
    <w:unhideWhenUsed/>
    <w:rsid w:val="003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265863">
      <w:bodyDiv w:val="1"/>
      <w:marLeft w:val="0"/>
      <w:marRight w:val="0"/>
      <w:marTop w:val="0"/>
      <w:marBottom w:val="0"/>
      <w:divBdr>
        <w:top w:val="none" w:sz="0" w:space="0" w:color="auto"/>
        <w:left w:val="none" w:sz="0" w:space="0" w:color="auto"/>
        <w:bottom w:val="none" w:sz="0" w:space="0" w:color="auto"/>
        <w:right w:val="none" w:sz="0" w:space="0" w:color="auto"/>
      </w:divBdr>
      <w:divsChild>
        <w:div w:id="2139252664">
          <w:marLeft w:val="0"/>
          <w:marRight w:val="0"/>
          <w:marTop w:val="0"/>
          <w:marBottom w:val="0"/>
          <w:divBdr>
            <w:top w:val="none" w:sz="0" w:space="0" w:color="auto"/>
            <w:left w:val="none" w:sz="0" w:space="0" w:color="auto"/>
            <w:bottom w:val="none" w:sz="0" w:space="0" w:color="auto"/>
            <w:right w:val="none" w:sz="0" w:space="0" w:color="auto"/>
          </w:divBdr>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egdy.gr/%cf%84%ce%bf-%cf%86%ce%b9%ce%ac%cf%83%ce%ba%ce%bf-%cf%84%ce%bf%cf%85-%cf%80%cf%81%ce%bf%ce%b3%cf%81%ce%ac%ce%bc%ce%bc%ce%b1%cf%84%ce%bf%cf%82-%cf%8d%ce%b4%cf%89%cf%81-2-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3294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3</cp:revision>
  <cp:lastPrinted>2024-03-21T05:50:00Z</cp:lastPrinted>
  <dcterms:created xsi:type="dcterms:W3CDTF">2026-05-13T11:08:00Z</dcterms:created>
  <dcterms:modified xsi:type="dcterms:W3CDTF">2026-05-13T11:36:00Z</dcterms:modified>
</cp:coreProperties>
</file>