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roofErr w:type="gramEnd"/>
          </w:p>
        </w:tc>
      </w:tr>
    </w:tbl>
    <w:p w14:paraId="6719D058" w14:textId="3B4CE200"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0D08DA">
        <w:rPr>
          <w:rFonts w:ascii="Times New Roman" w:hAnsi="Times New Roman"/>
          <w:b/>
          <w:bCs/>
          <w:sz w:val="28"/>
          <w:szCs w:val="28"/>
        </w:rPr>
        <w:t xml:space="preserve">           </w:t>
      </w:r>
      <w:r w:rsidR="0070780B" w:rsidRPr="007E60F5">
        <w:rPr>
          <w:rFonts w:cs="Calibri"/>
          <w:b/>
          <w:bCs/>
          <w:sz w:val="28"/>
          <w:szCs w:val="28"/>
        </w:rPr>
        <w:t xml:space="preserve">Αθήνα, </w:t>
      </w:r>
      <w:r w:rsidR="009E2718">
        <w:rPr>
          <w:rFonts w:cs="Calibri"/>
          <w:b/>
          <w:bCs/>
          <w:sz w:val="28"/>
          <w:szCs w:val="28"/>
        </w:rPr>
        <w:t>2</w:t>
      </w:r>
      <w:r w:rsidR="0094090F">
        <w:rPr>
          <w:rFonts w:cs="Calibri"/>
          <w:b/>
          <w:bCs/>
          <w:sz w:val="28"/>
          <w:szCs w:val="28"/>
        </w:rPr>
        <w:t>8</w:t>
      </w:r>
      <w:r w:rsidR="0099797F" w:rsidRPr="007E60F5">
        <w:rPr>
          <w:rFonts w:cs="Calibri"/>
          <w:b/>
          <w:bCs/>
          <w:sz w:val="28"/>
          <w:szCs w:val="28"/>
        </w:rPr>
        <w:t>/4/2026</w:t>
      </w:r>
      <w:bookmarkStart w:id="1" w:name="_Hlk219541323"/>
    </w:p>
    <w:p w14:paraId="05A2AB28" w14:textId="5CA99132" w:rsidR="000E31A8" w:rsidRPr="0052578E" w:rsidRDefault="0070780B" w:rsidP="0052578E">
      <w:pPr>
        <w:ind w:left="2880" w:firstLine="720"/>
        <w:jc w:val="both"/>
        <w:rPr>
          <w:rFonts w:cs="Calibri"/>
          <w:b/>
          <w:bCs/>
          <w:sz w:val="32"/>
          <w:szCs w:val="32"/>
        </w:rPr>
      </w:pPr>
      <w:r w:rsidRPr="000E31A8">
        <w:rPr>
          <w:rFonts w:cs="Calibri"/>
          <w:b/>
          <w:bCs/>
          <w:sz w:val="32"/>
          <w:szCs w:val="32"/>
        </w:rPr>
        <w:t>ΔΕΛΤΙΟ ΤΥΠΟΥ</w:t>
      </w:r>
      <w:bookmarkEnd w:id="0"/>
      <w:bookmarkEnd w:id="1"/>
    </w:p>
    <w:p w14:paraId="7AC2AA6A" w14:textId="77777777" w:rsidR="0065219C" w:rsidRPr="0065219C" w:rsidRDefault="0065219C" w:rsidP="0065219C">
      <w:pPr>
        <w:pStyle w:val="Web"/>
        <w:jc w:val="center"/>
        <w:rPr>
          <w:rFonts w:eastAsia="Calibri"/>
          <w:b/>
          <w:bCs/>
          <w:sz w:val="26"/>
          <w:szCs w:val="26"/>
          <w:lang w:eastAsia="en-US"/>
        </w:rPr>
      </w:pPr>
      <w:r w:rsidRPr="0065219C">
        <w:rPr>
          <w:rFonts w:eastAsia="Calibri"/>
          <w:b/>
          <w:bCs/>
          <w:sz w:val="26"/>
          <w:szCs w:val="26"/>
          <w:lang w:eastAsia="en-US"/>
        </w:rPr>
        <w:t>Από το Πακέτο Χατζηγάκη στο Πακέτο Χατζηδάκη: ένα γράμμα δρόμος</w:t>
      </w:r>
    </w:p>
    <w:p w14:paraId="56B05D35" w14:textId="77777777" w:rsidR="0065219C" w:rsidRPr="0065219C" w:rsidRDefault="0065219C" w:rsidP="0065219C">
      <w:pPr>
        <w:pStyle w:val="Web"/>
        <w:jc w:val="both"/>
        <w:rPr>
          <w:rFonts w:cs="Calibri"/>
          <w:sz w:val="26"/>
          <w:szCs w:val="26"/>
        </w:rPr>
      </w:pPr>
      <w:r w:rsidRPr="0065219C">
        <w:rPr>
          <w:rFonts w:cs="Calibri"/>
          <w:sz w:val="26"/>
          <w:szCs w:val="26"/>
        </w:rPr>
        <w:t>Η κυβέρνηση φαίνεται πως δεν διδάχθηκε τίποτα. Αφού εξάντλησε τα βοσκοτόπια του ΟΠΕΚΕΠΕ, τις τεχνικές λύσεις, τις διοικητικές αστοχίες και τις “δημιουργικές” ερμηνείες των ευρωπαϊκών κανόνων, τώρα περνά στο επόμενο στάδιο: τις έκτακτες ενισχύσεις με ειδικές ρυθμίσεις, δια διαγγέλματος από την Αντιπροεδρία της Κυβέρνησης.</w:t>
      </w:r>
    </w:p>
    <w:p w14:paraId="46F4A46D" w14:textId="77777777" w:rsidR="0065219C" w:rsidRPr="0065219C" w:rsidRDefault="0065219C" w:rsidP="0065219C">
      <w:pPr>
        <w:pStyle w:val="Web"/>
        <w:jc w:val="both"/>
        <w:rPr>
          <w:rFonts w:cs="Calibri"/>
          <w:sz w:val="26"/>
          <w:szCs w:val="26"/>
        </w:rPr>
      </w:pPr>
      <w:r w:rsidRPr="0065219C">
        <w:rPr>
          <w:rFonts w:cs="Calibri"/>
          <w:sz w:val="26"/>
          <w:szCs w:val="26"/>
        </w:rPr>
        <w:t>Έκπληκτος ο γεωτεχνικός και αγροτικός κόσμος άκουσε τον Αντιπρόεδρο της Κυβέρνησης κ. Χατζηδάκη, από την Πέλλα, να ανακοινώνει ότι οι αποζημιώσεις για κεράσια και μήλα από τον περσινό παγετό θα δοθούν μέσα στον Μάιο, μέσω «ειδικής ρύθμισης», απευθείας από το Υπουργείο Οικονομικών και σε συνεννόηση με την Ευρωπαϊκή Επιτροπή .</w:t>
      </w:r>
    </w:p>
    <w:p w14:paraId="3254D233" w14:textId="77777777" w:rsidR="0065219C" w:rsidRPr="0065219C" w:rsidRDefault="0065219C" w:rsidP="0065219C">
      <w:pPr>
        <w:pStyle w:val="Web"/>
        <w:jc w:val="both"/>
        <w:rPr>
          <w:rFonts w:cs="Calibri"/>
          <w:sz w:val="26"/>
          <w:szCs w:val="26"/>
        </w:rPr>
      </w:pPr>
      <w:r w:rsidRPr="0065219C">
        <w:rPr>
          <w:rFonts w:cs="Calibri"/>
          <w:sz w:val="26"/>
          <w:szCs w:val="26"/>
        </w:rPr>
        <w:t>Δηλαδή, εκτός ΕΛΓΑ, εκτός θεσμικού πλαισίου, εκτός κανονικών διαδικασιών. Με απλά λόγια: από το Πακέτο Χατζηγάκη, πάμε στο Πακέτο Χατζηδάκη. Ένα γράμμα δρόμος.</w:t>
      </w:r>
    </w:p>
    <w:p w14:paraId="7B10B7E1" w14:textId="77777777" w:rsidR="0065219C" w:rsidRPr="0065219C" w:rsidRDefault="0065219C" w:rsidP="0065219C">
      <w:pPr>
        <w:pStyle w:val="Web"/>
        <w:jc w:val="both"/>
        <w:rPr>
          <w:rFonts w:cs="Calibri"/>
          <w:sz w:val="26"/>
          <w:szCs w:val="26"/>
        </w:rPr>
      </w:pPr>
      <w:r w:rsidRPr="0065219C">
        <w:rPr>
          <w:rFonts w:cs="Calibri"/>
          <w:sz w:val="26"/>
          <w:szCs w:val="26"/>
        </w:rPr>
        <w:t>Και επειδή η ιστορία έχει κακή συνήθεια να επαναλαμβάνεται, η χώρα κινδυνεύει να ξαναζήσει το ίδιο έργο: πρόχειρες πολιτικές αποφάσεις, αδιαφανείς διαδικασίες, μελλοντικές ανακτήσεις, ευρωπαϊκοί καταλογισμοί και τελικά λογαριασμός στους ίδιους τους παραγωγούς και στους φορολογούμενους.</w:t>
      </w:r>
    </w:p>
    <w:p w14:paraId="4B6B2C46" w14:textId="77777777" w:rsidR="0065219C" w:rsidRPr="0065219C" w:rsidRDefault="0065219C" w:rsidP="0065219C">
      <w:pPr>
        <w:pStyle w:val="Web"/>
        <w:jc w:val="both"/>
        <w:rPr>
          <w:rFonts w:cs="Calibri"/>
          <w:sz w:val="26"/>
          <w:szCs w:val="26"/>
        </w:rPr>
      </w:pPr>
      <w:r w:rsidRPr="0065219C">
        <w:rPr>
          <w:rFonts w:cs="Calibri"/>
          <w:sz w:val="26"/>
          <w:szCs w:val="26"/>
        </w:rPr>
        <w:t>Η ΠΟΓΕΔΥ έχει ήδη προειδοποιήσει δημόσια για τον κίνδυνο ενός νέου «Πακέτου Χατζηγάκη» στο πλαίσιο του Μέτρου 23, ζητώντας σαφές νομικό πλαίσιο, θεσμική θωράκιση των γεωτεχνικών και αποφυγή αποφάσεων που αύριο θα εξελιχθούν σε νέες δικογραφίες .</w:t>
      </w:r>
    </w:p>
    <w:p w14:paraId="698E44E1" w14:textId="77777777" w:rsidR="0065219C" w:rsidRPr="0065219C" w:rsidRDefault="0065219C" w:rsidP="0065219C">
      <w:pPr>
        <w:pStyle w:val="Web"/>
        <w:jc w:val="both"/>
        <w:rPr>
          <w:rFonts w:cs="Calibri"/>
          <w:sz w:val="26"/>
          <w:szCs w:val="26"/>
        </w:rPr>
      </w:pPr>
      <w:r w:rsidRPr="0065219C">
        <w:rPr>
          <w:rFonts w:cs="Calibri"/>
          <w:sz w:val="26"/>
          <w:szCs w:val="26"/>
        </w:rPr>
        <w:t>Αντί όμως για θεσμική σοβαρότητα, βλέπουμε περιοδείες προεκλογικού χαρακτήρα, επισκέψεις με υποσχέσεις, εξαγγελίες εκτός αρμοδιότητας και πολιτική διαχείριση της αγωνίας των παραγωγών. </w:t>
      </w:r>
      <w:r w:rsidRPr="0065219C">
        <w:rPr>
          <w:rFonts w:cs="Calibri"/>
          <w:b/>
          <w:bCs/>
          <w:sz w:val="26"/>
          <w:szCs w:val="26"/>
        </w:rPr>
        <w:t>Όταν οι αποζημιώσεις ανακοινώνονται από εξέδρες περιοδειών και όχι από θεσμικά όργανα, δεν μιλάμε για αγροτική πολιτική αλλά για προεκλογική διανομή προσδοκιών.</w:t>
      </w:r>
      <w:r w:rsidRPr="0065219C">
        <w:rPr>
          <w:rFonts w:cs="Calibri"/>
          <w:sz w:val="26"/>
          <w:szCs w:val="26"/>
        </w:rPr>
        <w:t> Και φυσικά την πλήρη απαξίωση των γεωτεχνικών.</w:t>
      </w:r>
    </w:p>
    <w:p w14:paraId="11F56892" w14:textId="77777777" w:rsidR="0065219C" w:rsidRPr="0065219C" w:rsidRDefault="0065219C" w:rsidP="0065219C">
      <w:pPr>
        <w:pStyle w:val="Web"/>
        <w:jc w:val="both"/>
        <w:rPr>
          <w:rFonts w:cs="Calibri"/>
          <w:sz w:val="26"/>
          <w:szCs w:val="26"/>
        </w:rPr>
      </w:pPr>
      <w:r w:rsidRPr="0065219C">
        <w:rPr>
          <w:rFonts w:cs="Calibri"/>
          <w:sz w:val="26"/>
          <w:szCs w:val="26"/>
        </w:rPr>
        <w:t>Γιατί όμως ο Αντιπρόεδρος της Κυβέρνησης κάνει ανακοινώσεις αγροτικών αποζημιώσεων αντί του νέου Υπουργού Αγροτικής Ανάπτυξης &amp; Τροφίμων; </w:t>
      </w:r>
      <w:r w:rsidRPr="0065219C">
        <w:rPr>
          <w:rFonts w:cs="Calibri"/>
          <w:b/>
          <w:bCs/>
          <w:sz w:val="26"/>
          <w:szCs w:val="26"/>
        </w:rPr>
        <w:t xml:space="preserve">Γιατί υποκαθιστά τον αρμόδιο Υπουργό; Δεν τον εμπιστεύεται ή απλώς το </w:t>
      </w:r>
      <w:proofErr w:type="spellStart"/>
      <w:r w:rsidRPr="0065219C">
        <w:rPr>
          <w:rFonts w:cs="Calibri"/>
          <w:b/>
          <w:bCs/>
          <w:sz w:val="26"/>
          <w:szCs w:val="26"/>
        </w:rPr>
        <w:t>ΥπΑΑΤ</w:t>
      </w:r>
      <w:proofErr w:type="spellEnd"/>
      <w:r w:rsidRPr="0065219C">
        <w:rPr>
          <w:rFonts w:cs="Calibri"/>
          <w:b/>
          <w:bCs/>
          <w:sz w:val="26"/>
          <w:szCs w:val="26"/>
        </w:rPr>
        <w:t xml:space="preserve"> έχει μετατραπεί σε θεατή των εξελίξεων;</w:t>
      </w:r>
    </w:p>
    <w:p w14:paraId="0EB9740C" w14:textId="77777777" w:rsidR="0065219C" w:rsidRPr="0065219C" w:rsidRDefault="0065219C" w:rsidP="0065219C">
      <w:pPr>
        <w:pStyle w:val="Web"/>
        <w:jc w:val="both"/>
        <w:rPr>
          <w:rFonts w:cs="Calibri"/>
          <w:sz w:val="26"/>
          <w:szCs w:val="26"/>
        </w:rPr>
      </w:pPr>
      <w:r w:rsidRPr="0065219C">
        <w:rPr>
          <w:rFonts w:cs="Calibri"/>
          <w:sz w:val="26"/>
          <w:szCs w:val="26"/>
        </w:rPr>
        <w:t>Όταν οι αποζημιώσεις δεν αποτελούν αποτέλεσμα θεσμικής λειτουργίας αλλά προϊόν πολιτικής διαπραγμάτευσης και προεκλογικής παρουσίας, τότε δεν μιλάμε για αγροτική πολιτική. Μιλάμε για πελατειακή διαχείριση.</w:t>
      </w:r>
    </w:p>
    <w:p w14:paraId="7BA59D03" w14:textId="77777777" w:rsidR="0065219C" w:rsidRPr="0065219C" w:rsidRDefault="0065219C" w:rsidP="0065219C">
      <w:pPr>
        <w:pStyle w:val="Web"/>
        <w:jc w:val="both"/>
        <w:rPr>
          <w:rFonts w:cs="Calibri"/>
          <w:sz w:val="26"/>
          <w:szCs w:val="26"/>
        </w:rPr>
      </w:pPr>
      <w:r w:rsidRPr="0065219C">
        <w:rPr>
          <w:rFonts w:cs="Calibri"/>
          <w:sz w:val="26"/>
          <w:szCs w:val="26"/>
        </w:rPr>
        <w:t>Αφού λοιπόν «ξεμείναμε» από βοσκοτόπια του ΟΠΕΚΕΠΕ, τώρα ανακαλύψαμε τις έκτακτες ενισχύσεις. Το ερώτημα είναι απλό:</w:t>
      </w:r>
    </w:p>
    <w:p w14:paraId="1B85862F" w14:textId="77777777" w:rsidR="0065219C" w:rsidRPr="0065219C" w:rsidRDefault="0065219C" w:rsidP="0065219C">
      <w:pPr>
        <w:pStyle w:val="Web"/>
        <w:jc w:val="both"/>
        <w:rPr>
          <w:rFonts w:cs="Calibri"/>
          <w:sz w:val="26"/>
          <w:szCs w:val="26"/>
        </w:rPr>
      </w:pPr>
      <w:r w:rsidRPr="0065219C">
        <w:rPr>
          <w:rFonts w:cs="Calibri"/>
          <w:sz w:val="26"/>
          <w:szCs w:val="26"/>
        </w:rPr>
        <w:lastRenderedPageBreak/>
        <w:t>Το γνωρίζει και το εγκρίνει αυτό ο πρωθυπουργός της χώρας; Συμφωνεί με την επιστροφή στη λογική των πακέτων, των εξαιρέσεων και των ειδικών ρυθμίσεων;</w:t>
      </w:r>
    </w:p>
    <w:p w14:paraId="6C7989EB" w14:textId="77777777" w:rsidR="0065219C" w:rsidRPr="0065219C" w:rsidRDefault="0065219C" w:rsidP="0065219C">
      <w:pPr>
        <w:pStyle w:val="Web"/>
        <w:jc w:val="both"/>
        <w:rPr>
          <w:rFonts w:cs="Calibri"/>
          <w:sz w:val="26"/>
          <w:szCs w:val="26"/>
        </w:rPr>
      </w:pPr>
      <w:r w:rsidRPr="0065219C">
        <w:rPr>
          <w:rFonts w:cs="Calibri"/>
          <w:sz w:val="26"/>
          <w:szCs w:val="26"/>
        </w:rPr>
        <w:t>Η χώρα δεν αντέχει άλλο ούτε νέα πακέτα ούτε νέες δικογραφίες. Χρειάζεται θεσμούς. Όχι νέα επεισόδια του ίδιου σκανδάλου με διαφορετικό πρωταγωνιστή.</w:t>
      </w:r>
    </w:p>
    <w:p w14:paraId="0DACFC34" w14:textId="77777777" w:rsidR="0065219C" w:rsidRPr="0065219C" w:rsidRDefault="0065219C" w:rsidP="0065219C">
      <w:pPr>
        <w:pStyle w:val="Web"/>
        <w:jc w:val="both"/>
        <w:rPr>
          <w:rFonts w:cs="Calibri"/>
          <w:sz w:val="26"/>
          <w:szCs w:val="26"/>
        </w:rPr>
      </w:pPr>
      <w:r w:rsidRPr="0065219C">
        <w:rPr>
          <w:rFonts w:cs="Calibri"/>
          <w:sz w:val="26"/>
          <w:szCs w:val="26"/>
        </w:rPr>
        <w:t>Η Ελλάδα δεν χρειάζεται νέο Πακέτο Χατζηδάκη. Χρειάζεται κράτος. Γιατί όταν οι αποζημιώσεις γίνονται πολιτικό εργαλείο, στο τέλος δεν πληρώνει μόνο ο αγρότης. Πληρώνει ολόκληρη η χώρα.</w:t>
      </w:r>
    </w:p>
    <w:p w14:paraId="405405DF" w14:textId="77777777" w:rsidR="0065219C" w:rsidRPr="0065219C" w:rsidRDefault="0065219C" w:rsidP="0065219C">
      <w:pPr>
        <w:pStyle w:val="Web"/>
        <w:jc w:val="both"/>
        <w:rPr>
          <w:rFonts w:cs="Calibri"/>
          <w:sz w:val="26"/>
          <w:szCs w:val="26"/>
        </w:rPr>
      </w:pPr>
      <w:r w:rsidRPr="0065219C">
        <w:rPr>
          <w:rFonts w:cs="Calibri"/>
          <w:sz w:val="26"/>
          <w:szCs w:val="26"/>
        </w:rPr>
        <w:t>Και δυστυχώς όπου λαλούν πολλά κοκόρια αργεί να ξημερώσει!!!!</w:t>
      </w:r>
    </w:p>
    <w:p w14:paraId="410374E7" w14:textId="336032F7" w:rsidR="000E3718" w:rsidRDefault="00EE16F8" w:rsidP="000E3718">
      <w:pPr>
        <w:pStyle w:val="Web"/>
      </w:pPr>
      <w:r>
        <w:t xml:space="preserve">             </w:t>
      </w:r>
      <w:r w:rsidR="003D302F">
        <w:t xml:space="preserve">    </w:t>
      </w:r>
      <w:r>
        <w:t xml:space="preserve"> </w:t>
      </w:r>
    </w:p>
    <w:p w14:paraId="78DEB393" w14:textId="77777777" w:rsidR="000E3718" w:rsidRPr="0046503D" w:rsidRDefault="000E3718" w:rsidP="0046503D">
      <w:pPr>
        <w:spacing w:after="160" w:line="252" w:lineRule="auto"/>
        <w:jc w:val="both"/>
        <w:rPr>
          <w:rFonts w:cs="Calibri"/>
          <w:sz w:val="26"/>
          <w:szCs w:val="26"/>
        </w:rPr>
      </w:pP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3B7A6763" w:rsidR="00842E46" w:rsidRPr="00842E46" w:rsidRDefault="00FA63CA" w:rsidP="000E31A8">
      <w:pPr>
        <w:spacing w:before="120"/>
        <w:ind w:left="5040" w:firstLine="720"/>
        <w:jc w:val="center"/>
        <w:rPr>
          <w:rFonts w:ascii="Times New Roman" w:hAnsi="Times New Roman"/>
          <w:b/>
          <w:bCs/>
          <w:sz w:val="28"/>
          <w:szCs w:val="28"/>
        </w:rPr>
      </w:pPr>
      <w:r>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65219C">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C48C1"/>
    <w:multiLevelType w:val="multilevel"/>
    <w:tmpl w:val="C45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426"/>
    <w:multiLevelType w:val="hybridMultilevel"/>
    <w:tmpl w:val="54C69816"/>
    <w:lvl w:ilvl="0" w:tplc="8794C3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2E255F"/>
    <w:multiLevelType w:val="multilevel"/>
    <w:tmpl w:val="CEB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9155BB"/>
    <w:multiLevelType w:val="hybridMultilevel"/>
    <w:tmpl w:val="11264336"/>
    <w:lvl w:ilvl="0" w:tplc="04080001">
      <w:start w:val="1"/>
      <w:numFmt w:val="bullet"/>
      <w:lvlText w:val=""/>
      <w:lvlJc w:val="left"/>
      <w:pPr>
        <w:ind w:left="972" w:hanging="612"/>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A0F2CF9"/>
    <w:multiLevelType w:val="multilevel"/>
    <w:tmpl w:val="FF4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B846B9"/>
    <w:multiLevelType w:val="hybridMultilevel"/>
    <w:tmpl w:val="DD98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978"/>
    <w:multiLevelType w:val="hybridMultilevel"/>
    <w:tmpl w:val="5E6244B2"/>
    <w:lvl w:ilvl="0" w:tplc="04080001">
      <w:start w:val="1"/>
      <w:numFmt w:val="bullet"/>
      <w:lvlText w:val=""/>
      <w:lvlJc w:val="left"/>
      <w:pPr>
        <w:ind w:left="972"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4A461A2D"/>
    <w:multiLevelType w:val="multilevel"/>
    <w:tmpl w:val="EA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5"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6"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1"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31"/>
  </w:num>
  <w:num w:numId="3" w16cid:durableId="808405617">
    <w:abstractNumId w:val="19"/>
  </w:num>
  <w:num w:numId="4" w16cid:durableId="616058198">
    <w:abstractNumId w:val="20"/>
  </w:num>
  <w:num w:numId="5" w16cid:durableId="773017589">
    <w:abstractNumId w:val="27"/>
  </w:num>
  <w:num w:numId="6" w16cid:durableId="1998917099">
    <w:abstractNumId w:val="24"/>
  </w:num>
  <w:num w:numId="7" w16cid:durableId="342365300">
    <w:abstractNumId w:val="11"/>
  </w:num>
  <w:num w:numId="8" w16cid:durableId="2035762481">
    <w:abstractNumId w:val="23"/>
  </w:num>
  <w:num w:numId="9" w16cid:durableId="341667663">
    <w:abstractNumId w:val="7"/>
  </w:num>
  <w:num w:numId="10" w16cid:durableId="1708138720">
    <w:abstractNumId w:val="28"/>
  </w:num>
  <w:num w:numId="11" w16cid:durableId="31811766">
    <w:abstractNumId w:val="4"/>
  </w:num>
  <w:num w:numId="12" w16cid:durableId="744036597">
    <w:abstractNumId w:val="9"/>
  </w:num>
  <w:num w:numId="13" w16cid:durableId="1958637878">
    <w:abstractNumId w:val="14"/>
  </w:num>
  <w:num w:numId="14" w16cid:durableId="1253389672">
    <w:abstractNumId w:val="25"/>
  </w:num>
  <w:num w:numId="15" w16cid:durableId="93370680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30"/>
  </w:num>
  <w:num w:numId="17" w16cid:durableId="1212616730">
    <w:abstractNumId w:val="22"/>
  </w:num>
  <w:num w:numId="18" w16cid:durableId="233049526">
    <w:abstractNumId w:val="13"/>
  </w:num>
  <w:num w:numId="19" w16cid:durableId="1928271490">
    <w:abstractNumId w:val="12"/>
  </w:num>
  <w:num w:numId="20" w16cid:durableId="790324321">
    <w:abstractNumId w:val="26"/>
  </w:num>
  <w:num w:numId="21" w16cid:durableId="789662197">
    <w:abstractNumId w:val="5"/>
  </w:num>
  <w:num w:numId="22" w16cid:durableId="751467502">
    <w:abstractNumId w:val="16"/>
  </w:num>
  <w:num w:numId="23" w16cid:durableId="1727560481">
    <w:abstractNumId w:val="18"/>
  </w:num>
  <w:num w:numId="24" w16cid:durableId="956571204">
    <w:abstractNumId w:val="8"/>
  </w:num>
  <w:num w:numId="25" w16cid:durableId="1047797544">
    <w:abstractNumId w:val="10"/>
  </w:num>
  <w:num w:numId="26" w16cid:durableId="682636292">
    <w:abstractNumId w:val="1"/>
  </w:num>
  <w:num w:numId="27" w16cid:durableId="1561985911">
    <w:abstractNumId w:val="21"/>
  </w:num>
  <w:num w:numId="28" w16cid:durableId="1739286415">
    <w:abstractNumId w:val="3"/>
  </w:num>
  <w:num w:numId="29" w16cid:durableId="2047290322">
    <w:abstractNumId w:val="2"/>
  </w:num>
  <w:num w:numId="30" w16cid:durableId="1133906612">
    <w:abstractNumId w:val="15"/>
  </w:num>
  <w:num w:numId="31" w16cid:durableId="1833713477">
    <w:abstractNumId w:val="6"/>
  </w:num>
  <w:num w:numId="32" w16cid:durableId="2038660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2AE4"/>
    <w:rsid w:val="00042F9E"/>
    <w:rsid w:val="00044EBC"/>
    <w:rsid w:val="00045B57"/>
    <w:rsid w:val="00061829"/>
    <w:rsid w:val="0007175D"/>
    <w:rsid w:val="00072B5B"/>
    <w:rsid w:val="00075A5D"/>
    <w:rsid w:val="000801FF"/>
    <w:rsid w:val="00093D4D"/>
    <w:rsid w:val="00095A1A"/>
    <w:rsid w:val="00095B7C"/>
    <w:rsid w:val="000B170D"/>
    <w:rsid w:val="000B6288"/>
    <w:rsid w:val="000C7053"/>
    <w:rsid w:val="000D08DA"/>
    <w:rsid w:val="000D6A7C"/>
    <w:rsid w:val="000D706D"/>
    <w:rsid w:val="000E31A8"/>
    <w:rsid w:val="000E3212"/>
    <w:rsid w:val="000E3718"/>
    <w:rsid w:val="000F0A9C"/>
    <w:rsid w:val="000F549C"/>
    <w:rsid w:val="0011039E"/>
    <w:rsid w:val="00113AA9"/>
    <w:rsid w:val="00122901"/>
    <w:rsid w:val="001258FA"/>
    <w:rsid w:val="001353C6"/>
    <w:rsid w:val="00140E46"/>
    <w:rsid w:val="00143388"/>
    <w:rsid w:val="00144D11"/>
    <w:rsid w:val="00150AA2"/>
    <w:rsid w:val="00152D19"/>
    <w:rsid w:val="00164BC4"/>
    <w:rsid w:val="0016549A"/>
    <w:rsid w:val="001801F9"/>
    <w:rsid w:val="00187890"/>
    <w:rsid w:val="00192084"/>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D4AC2"/>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302F"/>
    <w:rsid w:val="003D7E34"/>
    <w:rsid w:val="003F0E0C"/>
    <w:rsid w:val="003F3A97"/>
    <w:rsid w:val="00407C77"/>
    <w:rsid w:val="00421E14"/>
    <w:rsid w:val="00436DBB"/>
    <w:rsid w:val="00445A88"/>
    <w:rsid w:val="004551AD"/>
    <w:rsid w:val="0046503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219C"/>
    <w:rsid w:val="00653902"/>
    <w:rsid w:val="006567DE"/>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775BC"/>
    <w:rsid w:val="007805B8"/>
    <w:rsid w:val="007973F8"/>
    <w:rsid w:val="007A4519"/>
    <w:rsid w:val="007B40F6"/>
    <w:rsid w:val="007C59DF"/>
    <w:rsid w:val="007E0778"/>
    <w:rsid w:val="007E4951"/>
    <w:rsid w:val="007E60F5"/>
    <w:rsid w:val="007F5648"/>
    <w:rsid w:val="0081113B"/>
    <w:rsid w:val="008418D8"/>
    <w:rsid w:val="00842E46"/>
    <w:rsid w:val="0084461C"/>
    <w:rsid w:val="0085143A"/>
    <w:rsid w:val="0085510B"/>
    <w:rsid w:val="00866852"/>
    <w:rsid w:val="0089227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4090F"/>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E2718"/>
    <w:rsid w:val="009F4164"/>
    <w:rsid w:val="00A03D9D"/>
    <w:rsid w:val="00A05118"/>
    <w:rsid w:val="00A072D9"/>
    <w:rsid w:val="00A0756B"/>
    <w:rsid w:val="00A16046"/>
    <w:rsid w:val="00A233C9"/>
    <w:rsid w:val="00A24689"/>
    <w:rsid w:val="00A2474B"/>
    <w:rsid w:val="00A33CE4"/>
    <w:rsid w:val="00A34336"/>
    <w:rsid w:val="00A36277"/>
    <w:rsid w:val="00A371D8"/>
    <w:rsid w:val="00A37EAC"/>
    <w:rsid w:val="00A65F17"/>
    <w:rsid w:val="00A665FA"/>
    <w:rsid w:val="00A73A7C"/>
    <w:rsid w:val="00A872A8"/>
    <w:rsid w:val="00A90934"/>
    <w:rsid w:val="00A95307"/>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077E"/>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115EA"/>
    <w:rsid w:val="00D17447"/>
    <w:rsid w:val="00D23346"/>
    <w:rsid w:val="00D23C74"/>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16F8"/>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D2DD8"/>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 w:type="character" w:styleId="aa">
    <w:name w:val="Unresolved Mention"/>
    <w:basedOn w:val="a0"/>
    <w:uiPriority w:val="99"/>
    <w:semiHidden/>
    <w:unhideWhenUsed/>
    <w:rsid w:val="003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529</Words>
  <Characters>2859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16</cp:revision>
  <cp:lastPrinted>2024-03-21T05:50:00Z</cp:lastPrinted>
  <dcterms:created xsi:type="dcterms:W3CDTF">2026-04-17T14:19:00Z</dcterms:created>
  <dcterms:modified xsi:type="dcterms:W3CDTF">2026-04-28T18:24:00Z</dcterms:modified>
</cp:coreProperties>
</file>