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roofErr w:type="gramEnd"/>
          </w:p>
        </w:tc>
      </w:tr>
    </w:tbl>
    <w:p w14:paraId="6719D058" w14:textId="1818DEBA"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0D08DA">
        <w:rPr>
          <w:rFonts w:ascii="Times New Roman" w:hAnsi="Times New Roman"/>
          <w:b/>
          <w:bCs/>
          <w:sz w:val="28"/>
          <w:szCs w:val="28"/>
        </w:rPr>
        <w:t xml:space="preserve">           </w:t>
      </w:r>
      <w:r w:rsidR="0070780B" w:rsidRPr="007E60F5">
        <w:rPr>
          <w:rFonts w:cs="Calibri"/>
          <w:b/>
          <w:bCs/>
          <w:sz w:val="28"/>
          <w:szCs w:val="28"/>
        </w:rPr>
        <w:t xml:space="preserve">Αθήνα, </w:t>
      </w:r>
      <w:r w:rsidR="009E2718">
        <w:rPr>
          <w:rFonts w:cs="Calibri"/>
          <w:b/>
          <w:bCs/>
          <w:sz w:val="28"/>
          <w:szCs w:val="28"/>
        </w:rPr>
        <w:t>2</w:t>
      </w:r>
      <w:r w:rsidR="00FD2DD8">
        <w:rPr>
          <w:rFonts w:cs="Calibri"/>
          <w:b/>
          <w:bCs/>
          <w:sz w:val="28"/>
          <w:szCs w:val="28"/>
        </w:rPr>
        <w:t>7</w:t>
      </w:r>
      <w:r w:rsidR="0099797F" w:rsidRPr="007E60F5">
        <w:rPr>
          <w:rFonts w:cs="Calibri"/>
          <w:b/>
          <w:bCs/>
          <w:sz w:val="28"/>
          <w:szCs w:val="28"/>
        </w:rPr>
        <w:t>/4/2026</w:t>
      </w:r>
      <w:bookmarkStart w:id="1" w:name="_Hlk219541323"/>
    </w:p>
    <w:p w14:paraId="05A2AB28" w14:textId="5CA99132" w:rsidR="000E31A8" w:rsidRPr="0052578E" w:rsidRDefault="0070780B" w:rsidP="0052578E">
      <w:pPr>
        <w:ind w:left="2880" w:firstLine="720"/>
        <w:jc w:val="both"/>
        <w:rPr>
          <w:rFonts w:cs="Calibri"/>
          <w:b/>
          <w:bCs/>
          <w:sz w:val="32"/>
          <w:szCs w:val="32"/>
        </w:rPr>
      </w:pPr>
      <w:r w:rsidRPr="000E31A8">
        <w:rPr>
          <w:rFonts w:cs="Calibri"/>
          <w:b/>
          <w:bCs/>
          <w:sz w:val="32"/>
          <w:szCs w:val="32"/>
        </w:rPr>
        <w:t>ΔΕΛΤΙΟ ΤΥΠΟΥ</w:t>
      </w:r>
      <w:bookmarkEnd w:id="0"/>
      <w:bookmarkEnd w:id="1"/>
    </w:p>
    <w:p w14:paraId="1883020D" w14:textId="2B7197D9" w:rsidR="000E31A8" w:rsidRPr="0052578E" w:rsidRDefault="00FD2DD8" w:rsidP="00FD2DD8">
      <w:pPr>
        <w:spacing w:after="160" w:line="252" w:lineRule="auto"/>
        <w:jc w:val="center"/>
        <w:rPr>
          <w:rFonts w:cs="Calibri"/>
          <w:sz w:val="26"/>
          <w:szCs w:val="26"/>
        </w:rPr>
      </w:pPr>
      <w:r w:rsidRPr="00FD2DD8">
        <w:rPr>
          <w:rFonts w:cs="Calibri"/>
          <w:b/>
          <w:bCs/>
          <w:sz w:val="26"/>
          <w:szCs w:val="26"/>
        </w:rPr>
        <w:t>Τα “φαντάσματα” τρώνε εκατομμύρια και οι γεωτεχνικοί πληρώνουν τον λογαριασμό»</w:t>
      </w:r>
    </w:p>
    <w:p w14:paraId="58766C19" w14:textId="2B9C5BC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Οι αποκαλύψεις για το Ταμείο Γεωργίας και Κτηνοτροφίας (ΤΓΚ) δεν αποτελούν απλώς μία ακόμα διοικητική αστοχία. Αποτελούν την επιτομή ενός συστήματος που λειτουργεί χωρίς λογοδοσία, χωρίς διαφάνεια και, όπως όλα δείχνουν, σε βάρος των ίδιων των γεωτεχνικών και της δημόσιας διοίκησης.</w:t>
      </w:r>
    </w:p>
    <w:p w14:paraId="521DE0AF"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Μετά τη δεύτερη κατά σειρά αποκάλυψη για «νομιμοποίηση» δαπανών δεκάδων εκατομμυρίων ευρώ μέσω τροπολογιών και την </w:t>
      </w:r>
      <w:r w:rsidRPr="00D23C74">
        <w:rPr>
          <w:rFonts w:ascii="Calibri" w:hAnsi="Calibri" w:cs="Calibri"/>
          <w:b/>
          <w:bCs/>
          <w:sz w:val="26"/>
          <w:szCs w:val="26"/>
        </w:rPr>
        <w:t>εκκωφαντική σιωπή</w:t>
      </w:r>
      <w:r w:rsidRPr="00D23C74">
        <w:rPr>
          <w:rFonts w:ascii="Calibri" w:hAnsi="Calibri" w:cs="Calibri"/>
          <w:sz w:val="26"/>
          <w:szCs w:val="26"/>
        </w:rPr>
        <w:t xml:space="preserve"> της υπηρεσιακής και πολιτικής ηγεσίας του </w:t>
      </w:r>
      <w:proofErr w:type="spellStart"/>
      <w:r w:rsidRPr="00D23C74">
        <w:rPr>
          <w:rFonts w:ascii="Calibri" w:hAnsi="Calibri" w:cs="Calibri"/>
          <w:sz w:val="26"/>
          <w:szCs w:val="26"/>
        </w:rPr>
        <w:t>ΥπΑΑΤ</w:t>
      </w:r>
      <w:proofErr w:type="spellEnd"/>
      <w:r w:rsidRPr="00D23C74">
        <w:rPr>
          <w:rFonts w:ascii="Calibri" w:hAnsi="Calibri" w:cs="Calibri"/>
          <w:sz w:val="26"/>
          <w:szCs w:val="26"/>
        </w:rPr>
        <w:t xml:space="preserve"> να μη λαμβάνει ξεκάθαρη θέση, τα ερωτήματα δεν πολλαπλασιάζονται απλώς, γίνονται ασφυκτικά.</w:t>
      </w:r>
    </w:p>
    <w:p w14:paraId="5F417F1A"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Επιπλέον, </w:t>
      </w:r>
      <w:r w:rsidRPr="00D23C74">
        <w:rPr>
          <w:rFonts w:ascii="Calibri" w:hAnsi="Calibri" w:cs="Calibri"/>
          <w:b/>
          <w:bCs/>
          <w:sz w:val="26"/>
          <w:szCs w:val="26"/>
        </w:rPr>
        <w:t>γεννάται μείζον θεσμικό ζήτημα</w:t>
      </w:r>
      <w:r w:rsidRPr="00D23C74">
        <w:rPr>
          <w:rFonts w:ascii="Calibri" w:hAnsi="Calibri" w:cs="Calibri"/>
          <w:sz w:val="26"/>
          <w:szCs w:val="26"/>
        </w:rPr>
        <w:t> για ποιο λόγο, εφόσον όλα είναι νόμιμα, δεν υπογράφονται τις τελευταίες ημέρες τα αιτήματα δέσμευσης πίστωσης των υπηρεσιών που εξυπηρετούνται από το ΤΓΚ; Ποιος και για ποιο λόγο μπλοκάρει τη λειτουργία των υπηρεσιών και με ποια θεσμική ή πολιτική κάλυψη; Ποιος φοβάται να βάλει την υπογραφή του;</w:t>
      </w:r>
    </w:p>
    <w:p w14:paraId="6EB5E701"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Η εικόνα που διαμορφώνεται είναι σαφής και εξαιρετικά επικίνδυνη: Η υπόθεση του ΤΓΚ εξελίσσεται σε ένα νέο ΟΠΕΚΕΠΕ, </w:t>
      </w:r>
      <w:r w:rsidRPr="00D23C74">
        <w:rPr>
          <w:rFonts w:ascii="Calibri" w:hAnsi="Calibri" w:cs="Calibri"/>
          <w:b/>
          <w:bCs/>
          <w:sz w:val="26"/>
          <w:szCs w:val="26"/>
        </w:rPr>
        <w:t>με ό,τι αυτό συνεπάγεται για ευθύνες και ενδεχομένως δικαστικές εξελίξεις</w:t>
      </w:r>
      <w:r w:rsidRPr="00D23C74">
        <w:rPr>
          <w:rFonts w:ascii="Calibri" w:hAnsi="Calibri" w:cs="Calibri"/>
          <w:sz w:val="26"/>
          <w:szCs w:val="26"/>
        </w:rPr>
        <w:t>. Και φυσικά η λύση δεν μπορεί να είναι το κλείσιμο του Ταμείου, όπως έντονα φημολογείται. </w:t>
      </w:r>
      <w:r w:rsidRPr="00D23C74">
        <w:rPr>
          <w:rFonts w:ascii="Calibri" w:hAnsi="Calibri" w:cs="Calibri"/>
          <w:b/>
          <w:bCs/>
          <w:sz w:val="26"/>
          <w:szCs w:val="26"/>
        </w:rPr>
        <w:t>Δεν θα κατεδαφίσουν το Ταμείο για να θάψουν τις ευθύνες.</w:t>
      </w:r>
      <w:r w:rsidRPr="00D23C74">
        <w:rPr>
          <w:rFonts w:ascii="Calibri" w:hAnsi="Calibri" w:cs="Calibri"/>
          <w:sz w:val="26"/>
          <w:szCs w:val="26"/>
        </w:rPr>
        <w:t> Δεν μπορεί το Ταμείο των Δασών να έχει μετατραπεί σε σύγχρονο εργαλείο μέσω του Πράσινου Ταμείου και το ΤΓΚ να παραμένει εγκλωβισμένο σε απαρχαιωμένες πρακτικές. Γιατί άραγε; Οι γεωτεχνικοί θέλουν ένα </w:t>
      </w:r>
      <w:r w:rsidRPr="00D23C74">
        <w:rPr>
          <w:rFonts w:ascii="Calibri" w:hAnsi="Calibri" w:cs="Calibri"/>
          <w:b/>
          <w:bCs/>
          <w:sz w:val="26"/>
          <w:szCs w:val="26"/>
        </w:rPr>
        <w:t>σύγχρονο, διαφανές και λειτουργικό Ταμείο Γεωργίας και Κτηνοτροφίας, όχι ένα διοικητικό απολίθωμα</w:t>
      </w:r>
      <w:r w:rsidRPr="00D23C74">
        <w:rPr>
          <w:rFonts w:ascii="Calibri" w:hAnsi="Calibri" w:cs="Calibri"/>
          <w:sz w:val="26"/>
          <w:szCs w:val="26"/>
        </w:rPr>
        <w:t>.</w:t>
      </w:r>
    </w:p>
    <w:p w14:paraId="536BF40B"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 xml:space="preserve">Διαμηνύουμε προς τους </w:t>
      </w:r>
      <w:proofErr w:type="spellStart"/>
      <w:r w:rsidRPr="00D23C74">
        <w:rPr>
          <w:rFonts w:ascii="Calibri" w:hAnsi="Calibri" w:cs="Calibri"/>
          <w:sz w:val="26"/>
          <w:szCs w:val="26"/>
        </w:rPr>
        <w:t>παροικούντες</w:t>
      </w:r>
      <w:proofErr w:type="spellEnd"/>
      <w:r w:rsidRPr="00D23C74">
        <w:rPr>
          <w:rFonts w:ascii="Calibri" w:hAnsi="Calibri" w:cs="Calibri"/>
          <w:sz w:val="26"/>
          <w:szCs w:val="26"/>
        </w:rPr>
        <w:t xml:space="preserve"> του Υπουργείου Οικονομικών ότι οποιαδήποτε προσπάθεια οικειοποίησης του αποθεματικού των 100 και πλέον εκατ. ευρώ του ΤΓΚ, το οποίο δημιουργήθηκε από τα ανταποδοτικά τέλη και τον καθημερινό μόχθο των γεωτεχνικών της χώρας, </w:t>
      </w:r>
      <w:r w:rsidRPr="00D23C74">
        <w:rPr>
          <w:rFonts w:ascii="Calibri" w:hAnsi="Calibri" w:cs="Calibri"/>
          <w:b/>
          <w:bCs/>
          <w:sz w:val="26"/>
          <w:szCs w:val="26"/>
        </w:rPr>
        <w:t>θα θεωρηθεί ευθεία αρπαγή πόρων που ανήκουν στις γεωτεχνικές υπηρεσίες και στους ελεγκτικούς μηχανισμούς της χώρας</w:t>
      </w:r>
      <w:r w:rsidRPr="00D23C74">
        <w:rPr>
          <w:rFonts w:ascii="Calibri" w:hAnsi="Calibri" w:cs="Calibri"/>
          <w:sz w:val="26"/>
          <w:szCs w:val="26"/>
        </w:rPr>
        <w:t>.</w:t>
      </w:r>
    </w:p>
    <w:p w14:paraId="6F7E2C60"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Παροτρύνουμε τους ανωτέρω «κύκλους» του Υπουργείου Οικονομικών, να απαντήσουν ευθέως, όπως οφείλουν, στα εξής:</w:t>
      </w:r>
    </w:p>
    <w:p w14:paraId="56794BAB" w14:textId="4DA8D35D" w:rsidR="00D23C74" w:rsidRPr="00D23C74" w:rsidRDefault="00D23C74" w:rsidP="00D23C74">
      <w:pPr>
        <w:pStyle w:val="Web"/>
        <w:numPr>
          <w:ilvl w:val="0"/>
          <w:numId w:val="32"/>
        </w:numPr>
        <w:spacing w:before="0" w:beforeAutospacing="0" w:after="40" w:afterAutospacing="0" w:line="264" w:lineRule="auto"/>
        <w:jc w:val="both"/>
        <w:rPr>
          <w:rFonts w:ascii="Calibri" w:hAnsi="Calibri" w:cs="Calibri"/>
          <w:sz w:val="26"/>
          <w:szCs w:val="26"/>
        </w:rPr>
      </w:pPr>
      <w:r w:rsidRPr="00D23C74">
        <w:rPr>
          <w:rFonts w:ascii="Calibri" w:hAnsi="Calibri" w:cs="Calibri"/>
          <w:b/>
          <w:bCs/>
          <w:sz w:val="26"/>
          <w:szCs w:val="26"/>
        </w:rPr>
        <w:t xml:space="preserve">Πού αποδίδονται τα ποσοστά από τα ανταποδοτικά τέλη των </w:t>
      </w:r>
      <w:proofErr w:type="spellStart"/>
      <w:r w:rsidRPr="00D23C74">
        <w:rPr>
          <w:rFonts w:ascii="Calibri" w:hAnsi="Calibri" w:cs="Calibri"/>
          <w:b/>
          <w:bCs/>
          <w:sz w:val="26"/>
          <w:szCs w:val="26"/>
        </w:rPr>
        <w:t>παραβόλων</w:t>
      </w:r>
      <w:proofErr w:type="spellEnd"/>
      <w:r w:rsidRPr="00D23C74">
        <w:rPr>
          <w:rFonts w:ascii="Calibri" w:hAnsi="Calibri" w:cs="Calibri"/>
          <w:b/>
          <w:bCs/>
          <w:sz w:val="26"/>
          <w:szCs w:val="26"/>
        </w:rPr>
        <w:t xml:space="preserve"> που εισπράττουν οι γεωτεχνικοί;</w:t>
      </w:r>
    </w:p>
    <w:p w14:paraId="0658D570" w14:textId="7682D101" w:rsidR="00D23C74" w:rsidRPr="00D23C74" w:rsidRDefault="00D23C74" w:rsidP="00D23C74">
      <w:pPr>
        <w:pStyle w:val="Web"/>
        <w:numPr>
          <w:ilvl w:val="0"/>
          <w:numId w:val="32"/>
        </w:numPr>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Μήπως χρηματοδοτούν επιδόματα «έμπειρων» ελεγκτών των υπηρεσιών του και της ΑΑΔΕ;</w:t>
      </w:r>
    </w:p>
    <w:p w14:paraId="1900D5E6" w14:textId="13990110" w:rsidR="00D23C74" w:rsidRPr="00D23C74" w:rsidRDefault="00D23C74" w:rsidP="00D23C74">
      <w:pPr>
        <w:pStyle w:val="Web"/>
        <w:numPr>
          <w:ilvl w:val="0"/>
          <w:numId w:val="31"/>
        </w:numPr>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Ή μήπως κάποιοι θεωρούν τους γεωτεχνικούς χρήσιμους μόνο όταν γεμίζουν τα ταμεία, αλλά αόρατους όταν πρέπει να επιστραφεί η ανταποδοτικότητα εκεί όπου πραγματικά ανήκει;</w:t>
      </w:r>
    </w:p>
    <w:p w14:paraId="501A9279"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lastRenderedPageBreak/>
        <w:t>Η ΠΟΓΕΔΥ δηλώνει ξεκάθαρα ότι δεν θα επιτρέψει τα χρήματα που προορίζονται για την ενίσχυση των ελεγκτικών μηχανισμών και των γεωτεχνικών να μετατρέπονται σε «μαύρες τρύπες» ή σε εργαλείο πολιτικών και διοικητικών εξυπηρετήσεων.</w:t>
      </w:r>
    </w:p>
    <w:p w14:paraId="26721575" w14:textId="77777777"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Για τον λόγο αυτό, το επόμενο χρονικό διάστημα θα εξαντλήσει κάθε έννομο μέσο, συμπεριλαμβανομένης και της </w:t>
      </w:r>
      <w:r w:rsidRPr="00D23C74">
        <w:rPr>
          <w:rFonts w:ascii="Calibri" w:hAnsi="Calibri" w:cs="Calibri"/>
          <w:b/>
          <w:bCs/>
          <w:sz w:val="26"/>
          <w:szCs w:val="26"/>
        </w:rPr>
        <w:t>κατάθεσης αγωγής κατά παντός υπευθύνου</w:t>
      </w:r>
      <w:r w:rsidRPr="00D23C74">
        <w:rPr>
          <w:rFonts w:ascii="Calibri" w:hAnsi="Calibri" w:cs="Calibri"/>
          <w:sz w:val="26"/>
          <w:szCs w:val="26"/>
        </w:rPr>
        <w:t>, για το γεγονός ότι τα έσοδα από τα ανταποδοτικά τέλη δεν επιστρέφουν, όπως ρητά προβλέπει η νομοθεσία, στους φυσικούς αποδέκτες τους: τους γεωτεχνικούς και τις υπηρεσίες που σηκώνουν το βάρος των ελέγχων. Και αυτή τη φορά κανείς δεν θα μπορεί να ισχυριστεί ότι δεν γνώριζε.</w:t>
      </w:r>
    </w:p>
    <w:p w14:paraId="01ADF9C2" w14:textId="6845DAC6"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sz w:val="26"/>
          <w:szCs w:val="26"/>
        </w:rPr>
        <w:t>Το ζήτημα πλέον δεν είναι διοικητικό. </w:t>
      </w:r>
      <w:r w:rsidRPr="00D23C74">
        <w:rPr>
          <w:rFonts w:ascii="Calibri" w:hAnsi="Calibri" w:cs="Calibri"/>
          <w:b/>
          <w:bCs/>
          <w:sz w:val="26"/>
          <w:szCs w:val="26"/>
        </w:rPr>
        <w:t>Είναι ζήτημα πολιτικής ευθύνης και θεσμικής αξιοπιστίας</w:t>
      </w:r>
      <w:r w:rsidRPr="00D23C74">
        <w:rPr>
          <w:rFonts w:ascii="Calibri" w:hAnsi="Calibri" w:cs="Calibri"/>
          <w:sz w:val="26"/>
          <w:szCs w:val="26"/>
        </w:rPr>
        <w:t>. Και απαιτεί καθαρές απαντήσεις</w:t>
      </w:r>
      <w:r w:rsidRPr="00D23C74">
        <w:rPr>
          <w:rFonts w:ascii="Calibri" w:hAnsi="Calibri" w:cs="Calibri"/>
          <w:sz w:val="26"/>
          <w:szCs w:val="26"/>
        </w:rPr>
        <w:t>.</w:t>
      </w:r>
    </w:p>
    <w:p w14:paraId="0A532933" w14:textId="4D238F86" w:rsidR="00D23C74" w:rsidRPr="00D23C74" w:rsidRDefault="00D23C74" w:rsidP="00D23C74">
      <w:pPr>
        <w:pStyle w:val="Web"/>
        <w:spacing w:before="0" w:beforeAutospacing="0" w:after="40" w:afterAutospacing="0" w:line="264" w:lineRule="auto"/>
        <w:jc w:val="both"/>
        <w:rPr>
          <w:rFonts w:ascii="Calibri" w:hAnsi="Calibri" w:cs="Calibri"/>
          <w:sz w:val="26"/>
          <w:szCs w:val="26"/>
        </w:rPr>
      </w:pPr>
      <w:r w:rsidRPr="00D23C74">
        <w:rPr>
          <w:rFonts w:ascii="Calibri" w:hAnsi="Calibri" w:cs="Calibri"/>
          <w:b/>
          <w:bCs/>
          <w:sz w:val="26"/>
          <w:szCs w:val="26"/>
        </w:rPr>
        <w:t>Η σιωπή τελείωσε. Από εδώ και πέρα, όποιος σιωπά, αναλαμβάνει και την ευθύνη της συγκάλυψης</w:t>
      </w:r>
      <w:r w:rsidRPr="00D23C74">
        <w:rPr>
          <w:rFonts w:ascii="Calibri" w:hAnsi="Calibri" w:cs="Calibri"/>
          <w:b/>
          <w:bCs/>
          <w:sz w:val="26"/>
          <w:szCs w:val="26"/>
        </w:rPr>
        <w:t>.</w:t>
      </w:r>
    </w:p>
    <w:p w14:paraId="410374E7" w14:textId="336032F7" w:rsidR="000E3718" w:rsidRDefault="00EE16F8" w:rsidP="000E3718">
      <w:pPr>
        <w:pStyle w:val="Web"/>
      </w:pPr>
      <w:r>
        <w:t xml:space="preserve">             </w:t>
      </w:r>
      <w:r w:rsidR="003D302F">
        <w:t xml:space="preserve">    </w:t>
      </w:r>
      <w:r>
        <w:t xml:space="preserve"> </w:t>
      </w:r>
    </w:p>
    <w:p w14:paraId="78DEB393" w14:textId="77777777" w:rsidR="000E3718" w:rsidRPr="0046503D" w:rsidRDefault="000E3718" w:rsidP="0046503D">
      <w:pPr>
        <w:spacing w:after="160" w:line="252" w:lineRule="auto"/>
        <w:jc w:val="both"/>
        <w:rPr>
          <w:rFonts w:cs="Calibri"/>
          <w:sz w:val="26"/>
          <w:szCs w:val="26"/>
        </w:rPr>
      </w:pP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3B7A6763" w:rsidR="00842E46" w:rsidRPr="00842E46" w:rsidRDefault="00FA63CA" w:rsidP="000E31A8">
      <w:pPr>
        <w:spacing w:before="120"/>
        <w:ind w:left="5040" w:firstLine="720"/>
        <w:jc w:val="center"/>
        <w:rPr>
          <w:rFonts w:ascii="Times New Roman" w:hAnsi="Times New Roman"/>
          <w:b/>
          <w:bCs/>
          <w:sz w:val="28"/>
          <w:szCs w:val="28"/>
        </w:rPr>
      </w:pPr>
      <w:r>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52578E">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C48C1"/>
    <w:multiLevelType w:val="multilevel"/>
    <w:tmpl w:val="C45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426"/>
    <w:multiLevelType w:val="hybridMultilevel"/>
    <w:tmpl w:val="54C69816"/>
    <w:lvl w:ilvl="0" w:tplc="8794C3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2E255F"/>
    <w:multiLevelType w:val="multilevel"/>
    <w:tmpl w:val="CEB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9155BB"/>
    <w:multiLevelType w:val="hybridMultilevel"/>
    <w:tmpl w:val="11264336"/>
    <w:lvl w:ilvl="0" w:tplc="04080001">
      <w:start w:val="1"/>
      <w:numFmt w:val="bullet"/>
      <w:lvlText w:val=""/>
      <w:lvlJc w:val="left"/>
      <w:pPr>
        <w:ind w:left="972" w:hanging="612"/>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A0F2CF9"/>
    <w:multiLevelType w:val="multilevel"/>
    <w:tmpl w:val="FF4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B846B9"/>
    <w:multiLevelType w:val="hybridMultilevel"/>
    <w:tmpl w:val="DD98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978"/>
    <w:multiLevelType w:val="hybridMultilevel"/>
    <w:tmpl w:val="5E6244B2"/>
    <w:lvl w:ilvl="0" w:tplc="04080001">
      <w:start w:val="1"/>
      <w:numFmt w:val="bullet"/>
      <w:lvlText w:val=""/>
      <w:lvlJc w:val="left"/>
      <w:pPr>
        <w:ind w:left="972"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4A461A2D"/>
    <w:multiLevelType w:val="multilevel"/>
    <w:tmpl w:val="EA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5"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6"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1"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31"/>
  </w:num>
  <w:num w:numId="3" w16cid:durableId="808405617">
    <w:abstractNumId w:val="19"/>
  </w:num>
  <w:num w:numId="4" w16cid:durableId="616058198">
    <w:abstractNumId w:val="20"/>
  </w:num>
  <w:num w:numId="5" w16cid:durableId="773017589">
    <w:abstractNumId w:val="27"/>
  </w:num>
  <w:num w:numId="6" w16cid:durableId="1998917099">
    <w:abstractNumId w:val="24"/>
  </w:num>
  <w:num w:numId="7" w16cid:durableId="342365300">
    <w:abstractNumId w:val="11"/>
  </w:num>
  <w:num w:numId="8" w16cid:durableId="2035762481">
    <w:abstractNumId w:val="23"/>
  </w:num>
  <w:num w:numId="9" w16cid:durableId="341667663">
    <w:abstractNumId w:val="7"/>
  </w:num>
  <w:num w:numId="10" w16cid:durableId="1708138720">
    <w:abstractNumId w:val="28"/>
  </w:num>
  <w:num w:numId="11" w16cid:durableId="31811766">
    <w:abstractNumId w:val="4"/>
  </w:num>
  <w:num w:numId="12" w16cid:durableId="744036597">
    <w:abstractNumId w:val="9"/>
  </w:num>
  <w:num w:numId="13" w16cid:durableId="1958637878">
    <w:abstractNumId w:val="14"/>
  </w:num>
  <w:num w:numId="14" w16cid:durableId="1253389672">
    <w:abstractNumId w:val="25"/>
  </w:num>
  <w:num w:numId="15" w16cid:durableId="93370680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30"/>
  </w:num>
  <w:num w:numId="17" w16cid:durableId="1212616730">
    <w:abstractNumId w:val="22"/>
  </w:num>
  <w:num w:numId="18" w16cid:durableId="233049526">
    <w:abstractNumId w:val="13"/>
  </w:num>
  <w:num w:numId="19" w16cid:durableId="1928271490">
    <w:abstractNumId w:val="12"/>
  </w:num>
  <w:num w:numId="20" w16cid:durableId="790324321">
    <w:abstractNumId w:val="26"/>
  </w:num>
  <w:num w:numId="21" w16cid:durableId="789662197">
    <w:abstractNumId w:val="5"/>
  </w:num>
  <w:num w:numId="22" w16cid:durableId="751467502">
    <w:abstractNumId w:val="16"/>
  </w:num>
  <w:num w:numId="23" w16cid:durableId="1727560481">
    <w:abstractNumId w:val="18"/>
  </w:num>
  <w:num w:numId="24" w16cid:durableId="956571204">
    <w:abstractNumId w:val="8"/>
  </w:num>
  <w:num w:numId="25" w16cid:durableId="1047797544">
    <w:abstractNumId w:val="10"/>
  </w:num>
  <w:num w:numId="26" w16cid:durableId="682636292">
    <w:abstractNumId w:val="1"/>
  </w:num>
  <w:num w:numId="27" w16cid:durableId="1561985911">
    <w:abstractNumId w:val="21"/>
  </w:num>
  <w:num w:numId="28" w16cid:durableId="1739286415">
    <w:abstractNumId w:val="3"/>
  </w:num>
  <w:num w:numId="29" w16cid:durableId="2047290322">
    <w:abstractNumId w:val="2"/>
  </w:num>
  <w:num w:numId="30" w16cid:durableId="1133906612">
    <w:abstractNumId w:val="15"/>
  </w:num>
  <w:num w:numId="31" w16cid:durableId="1833713477">
    <w:abstractNumId w:val="6"/>
  </w:num>
  <w:num w:numId="32" w16cid:durableId="2038660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2F9E"/>
    <w:rsid w:val="00044EBC"/>
    <w:rsid w:val="00045B57"/>
    <w:rsid w:val="00061829"/>
    <w:rsid w:val="0007175D"/>
    <w:rsid w:val="00072B5B"/>
    <w:rsid w:val="00075A5D"/>
    <w:rsid w:val="000801FF"/>
    <w:rsid w:val="00093D4D"/>
    <w:rsid w:val="00095A1A"/>
    <w:rsid w:val="00095B7C"/>
    <w:rsid w:val="000B170D"/>
    <w:rsid w:val="000B6288"/>
    <w:rsid w:val="000C7053"/>
    <w:rsid w:val="000D08DA"/>
    <w:rsid w:val="000D6A7C"/>
    <w:rsid w:val="000D706D"/>
    <w:rsid w:val="000E31A8"/>
    <w:rsid w:val="000E3212"/>
    <w:rsid w:val="000E3718"/>
    <w:rsid w:val="000F0A9C"/>
    <w:rsid w:val="000F549C"/>
    <w:rsid w:val="0011039E"/>
    <w:rsid w:val="00113AA9"/>
    <w:rsid w:val="00122901"/>
    <w:rsid w:val="001258FA"/>
    <w:rsid w:val="001353C6"/>
    <w:rsid w:val="00140E46"/>
    <w:rsid w:val="00143388"/>
    <w:rsid w:val="00144D11"/>
    <w:rsid w:val="00150AA2"/>
    <w:rsid w:val="00152D19"/>
    <w:rsid w:val="00164BC4"/>
    <w:rsid w:val="0016549A"/>
    <w:rsid w:val="001801F9"/>
    <w:rsid w:val="00187890"/>
    <w:rsid w:val="00192084"/>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D4AC2"/>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302F"/>
    <w:rsid w:val="003D7E34"/>
    <w:rsid w:val="003F0E0C"/>
    <w:rsid w:val="003F3A97"/>
    <w:rsid w:val="00407C77"/>
    <w:rsid w:val="00421E14"/>
    <w:rsid w:val="00436DBB"/>
    <w:rsid w:val="00445A88"/>
    <w:rsid w:val="004551AD"/>
    <w:rsid w:val="0046503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775BC"/>
    <w:rsid w:val="007805B8"/>
    <w:rsid w:val="007973F8"/>
    <w:rsid w:val="007A4519"/>
    <w:rsid w:val="007B40F6"/>
    <w:rsid w:val="007C59DF"/>
    <w:rsid w:val="007E0778"/>
    <w:rsid w:val="007E4951"/>
    <w:rsid w:val="007E60F5"/>
    <w:rsid w:val="007F5648"/>
    <w:rsid w:val="0081113B"/>
    <w:rsid w:val="008418D8"/>
    <w:rsid w:val="00842E46"/>
    <w:rsid w:val="0084461C"/>
    <w:rsid w:val="0085143A"/>
    <w:rsid w:val="0085510B"/>
    <w:rsid w:val="00866852"/>
    <w:rsid w:val="0089227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E2718"/>
    <w:rsid w:val="009F4164"/>
    <w:rsid w:val="00A03D9D"/>
    <w:rsid w:val="00A05118"/>
    <w:rsid w:val="00A072D9"/>
    <w:rsid w:val="00A0756B"/>
    <w:rsid w:val="00A16046"/>
    <w:rsid w:val="00A233C9"/>
    <w:rsid w:val="00A24689"/>
    <w:rsid w:val="00A2474B"/>
    <w:rsid w:val="00A33CE4"/>
    <w:rsid w:val="00A34336"/>
    <w:rsid w:val="00A36277"/>
    <w:rsid w:val="00A371D8"/>
    <w:rsid w:val="00A37EAC"/>
    <w:rsid w:val="00A65F17"/>
    <w:rsid w:val="00A665FA"/>
    <w:rsid w:val="00A73A7C"/>
    <w:rsid w:val="00A872A8"/>
    <w:rsid w:val="00A90934"/>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077E"/>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115EA"/>
    <w:rsid w:val="00D17447"/>
    <w:rsid w:val="00D23346"/>
    <w:rsid w:val="00D23C74"/>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16F8"/>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D2DD8"/>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 w:type="character" w:styleId="aa">
    <w:name w:val="Unresolved Mention"/>
    <w:basedOn w:val="a0"/>
    <w:uiPriority w:val="99"/>
    <w:semiHidden/>
    <w:unhideWhenUsed/>
    <w:rsid w:val="003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590</Words>
  <Characters>3189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14</cp:revision>
  <cp:lastPrinted>2024-03-21T05:50:00Z</cp:lastPrinted>
  <dcterms:created xsi:type="dcterms:W3CDTF">2026-04-17T14:19:00Z</dcterms:created>
  <dcterms:modified xsi:type="dcterms:W3CDTF">2026-04-26T09:42:00Z</dcterms:modified>
</cp:coreProperties>
</file>