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10065"/>
      </w:tblGrid>
      <w:tr w:rsidR="00397C9C" w:rsidRPr="005C5070" w14:paraId="0AB17CFE" w14:textId="77777777" w:rsidTr="00337451">
        <w:tc>
          <w:tcPr>
            <w:tcW w:w="10065" w:type="dxa"/>
            <w:tcBorders>
              <w:top w:val="single" w:sz="4" w:space="0" w:color="000000"/>
              <w:left w:val="single" w:sz="4" w:space="0" w:color="000000"/>
              <w:bottom w:val="single" w:sz="4" w:space="0" w:color="000000"/>
              <w:right w:val="single" w:sz="4" w:space="0" w:color="000000"/>
            </w:tcBorders>
          </w:tcPr>
          <w:p w14:paraId="1B2A064A" w14:textId="77777777" w:rsidR="00397C9C" w:rsidRPr="005C5070" w:rsidRDefault="00397C9C" w:rsidP="00CD79C6">
            <w:pPr>
              <w:pStyle w:val="1"/>
              <w:spacing w:after="100"/>
              <w:rPr>
                <w:rFonts w:ascii="Calibri" w:hAnsi="Calibri" w:cs="Calibri"/>
                <w:bCs/>
                <w:sz w:val="24"/>
              </w:rPr>
            </w:pPr>
            <w:r w:rsidRPr="005C5070">
              <w:rPr>
                <w:rFonts w:ascii="Calibri" w:hAnsi="Calibri" w:cs="Calibri"/>
                <w:sz w:val="24"/>
              </w:rPr>
              <w:t>ΠΑΝΕΛΛΗΝΙΑ ΟΜΟΣΠΟΝΔΙΑ ΓΕΩΤΕΧΝΙΚΩΝ ΔΗΜΟΣΙΩΝ ΥΠΑΛΛΗΛΩΝ</w:t>
            </w:r>
          </w:p>
          <w:p w14:paraId="364016DB" w14:textId="77777777" w:rsidR="00397C9C" w:rsidRPr="005C5070" w:rsidRDefault="00397C9C" w:rsidP="00CD79C6">
            <w:pPr>
              <w:spacing w:after="100" w:line="240" w:lineRule="exact"/>
              <w:jc w:val="center"/>
              <w:rPr>
                <w:rFonts w:ascii="Calibri" w:hAnsi="Calibri" w:cs="Calibri"/>
                <w:sz w:val="24"/>
                <w:szCs w:val="24"/>
              </w:rPr>
            </w:pPr>
            <w:r w:rsidRPr="005C5070">
              <w:rPr>
                <w:rFonts w:ascii="Calibri" w:hAnsi="Calibri" w:cs="Calibri"/>
                <w:b/>
                <w:bCs/>
                <w:sz w:val="24"/>
                <w:szCs w:val="24"/>
              </w:rPr>
              <w:t>(ΠΟΓΕΔΥ)</w:t>
            </w:r>
          </w:p>
          <w:p w14:paraId="53B99E75" w14:textId="77777777" w:rsidR="00397C9C" w:rsidRPr="005C5070" w:rsidRDefault="00397C9C" w:rsidP="00CD79C6">
            <w:pPr>
              <w:spacing w:after="100" w:line="240" w:lineRule="exact"/>
              <w:jc w:val="center"/>
              <w:rPr>
                <w:rFonts w:ascii="Calibri" w:hAnsi="Calibri" w:cs="Calibri"/>
                <w:bCs/>
                <w:sz w:val="24"/>
                <w:szCs w:val="24"/>
              </w:rPr>
            </w:pPr>
            <w:r w:rsidRPr="005C5070">
              <w:rPr>
                <w:rFonts w:ascii="Calibri" w:hAnsi="Calibri" w:cs="Calibri"/>
                <w:sz w:val="24"/>
                <w:szCs w:val="24"/>
              </w:rPr>
              <w:t>ΓΕΩΠΟΝΟΙ – ΔΑΣΟΛΟΓΟΙ – ΚΤΗΝΙΑΤΡΟΙ – ΙΧΘΥΟΛΟΓΟΙ - ΓΕΩΛΟΓΟΙ</w:t>
            </w:r>
          </w:p>
          <w:p w14:paraId="1300D29C" w14:textId="77777777" w:rsidR="00397C9C" w:rsidRPr="005C5070" w:rsidRDefault="00397C9C" w:rsidP="00CD79C6">
            <w:pPr>
              <w:spacing w:after="100" w:line="240" w:lineRule="exact"/>
              <w:ind w:right="34"/>
              <w:jc w:val="center"/>
              <w:rPr>
                <w:rFonts w:ascii="Calibri" w:hAnsi="Calibri" w:cs="Calibri"/>
                <w:b/>
                <w:bCs/>
                <w:sz w:val="24"/>
                <w:szCs w:val="24"/>
              </w:rPr>
            </w:pPr>
            <w:r w:rsidRPr="005C5070">
              <w:rPr>
                <w:rFonts w:ascii="Calibri" w:hAnsi="Calibri" w:cs="Calibri"/>
                <w:bCs/>
                <w:sz w:val="24"/>
                <w:szCs w:val="24"/>
              </w:rPr>
              <w:t xml:space="preserve">Αχαρνών 2 Αθήνα Τ.Κ. 10176 Τηλ.:210-5234189, 210-2124041 </w:t>
            </w:r>
            <w:r w:rsidRPr="005C5070">
              <w:rPr>
                <w:rFonts w:ascii="Calibri" w:hAnsi="Calibri" w:cs="Calibri"/>
                <w:bCs/>
                <w:sz w:val="24"/>
                <w:szCs w:val="24"/>
                <w:lang w:val="en-US"/>
              </w:rPr>
              <w:t>FAX</w:t>
            </w:r>
            <w:r w:rsidRPr="005C5070">
              <w:rPr>
                <w:rFonts w:ascii="Calibri" w:hAnsi="Calibri" w:cs="Calibri"/>
                <w:bCs/>
                <w:sz w:val="24"/>
                <w:szCs w:val="24"/>
              </w:rPr>
              <w:t>: 210-5232240</w:t>
            </w:r>
          </w:p>
          <w:p w14:paraId="219C77ED" w14:textId="77777777" w:rsidR="00397C9C" w:rsidRPr="005C5070" w:rsidRDefault="00397C9C" w:rsidP="00CD79C6">
            <w:pPr>
              <w:spacing w:after="100" w:line="240" w:lineRule="exact"/>
              <w:ind w:right="34"/>
              <w:jc w:val="center"/>
              <w:rPr>
                <w:rFonts w:ascii="Calibri" w:hAnsi="Calibri" w:cs="Calibri"/>
                <w:sz w:val="24"/>
                <w:szCs w:val="24"/>
              </w:rPr>
            </w:pPr>
            <w:r w:rsidRPr="005C5070">
              <w:rPr>
                <w:rFonts w:ascii="Calibri" w:hAnsi="Calibri" w:cs="Calibri"/>
                <w:b/>
                <w:bCs/>
                <w:sz w:val="24"/>
                <w:szCs w:val="24"/>
                <w:lang w:val="en-US"/>
              </w:rPr>
              <w:t>e</w:t>
            </w:r>
            <w:r w:rsidRPr="005C5070">
              <w:rPr>
                <w:rFonts w:ascii="Calibri" w:hAnsi="Calibri" w:cs="Calibri"/>
                <w:b/>
                <w:bCs/>
                <w:sz w:val="24"/>
                <w:szCs w:val="24"/>
              </w:rPr>
              <w:t>-</w:t>
            </w:r>
            <w:r w:rsidRPr="005C5070">
              <w:rPr>
                <w:rFonts w:ascii="Calibri" w:hAnsi="Calibri" w:cs="Calibri"/>
                <w:b/>
                <w:bCs/>
                <w:sz w:val="24"/>
                <w:szCs w:val="24"/>
                <w:lang w:val="en-US"/>
              </w:rPr>
              <w:t>mail</w:t>
            </w:r>
            <w:r w:rsidRPr="005C5070">
              <w:rPr>
                <w:rFonts w:ascii="Calibri" w:hAnsi="Calibri" w:cs="Calibri"/>
                <w:b/>
                <w:bCs/>
                <w:sz w:val="24"/>
                <w:szCs w:val="24"/>
              </w:rPr>
              <w:t>:</w:t>
            </w:r>
            <w:r w:rsidRPr="005C5070">
              <w:rPr>
                <w:rFonts w:ascii="Calibri" w:hAnsi="Calibri" w:cs="Calibri"/>
                <w:b/>
                <w:bCs/>
                <w:sz w:val="24"/>
                <w:szCs w:val="24"/>
                <w:lang w:val="en-US"/>
              </w:rPr>
              <w:t>ax</w:t>
            </w:r>
            <w:r w:rsidRPr="005C5070">
              <w:rPr>
                <w:rFonts w:ascii="Calibri" w:hAnsi="Calibri" w:cs="Calibri"/>
                <w:b/>
                <w:bCs/>
                <w:sz w:val="24"/>
                <w:szCs w:val="24"/>
              </w:rPr>
              <w:t>2</w:t>
            </w:r>
            <w:r w:rsidRPr="005C5070">
              <w:rPr>
                <w:rFonts w:ascii="Calibri" w:hAnsi="Calibri" w:cs="Calibri"/>
                <w:b/>
                <w:bCs/>
                <w:sz w:val="24"/>
                <w:szCs w:val="24"/>
                <w:lang w:val="en-US"/>
              </w:rPr>
              <w:t>u</w:t>
            </w:r>
            <w:r w:rsidRPr="005C5070">
              <w:rPr>
                <w:rFonts w:ascii="Calibri" w:hAnsi="Calibri" w:cs="Calibri"/>
                <w:b/>
                <w:bCs/>
                <w:sz w:val="24"/>
                <w:szCs w:val="24"/>
              </w:rPr>
              <w:t>128@</w:t>
            </w:r>
            <w:proofErr w:type="spellStart"/>
            <w:r w:rsidRPr="005C5070">
              <w:rPr>
                <w:rFonts w:ascii="Calibri" w:hAnsi="Calibri" w:cs="Calibri"/>
                <w:b/>
                <w:bCs/>
                <w:sz w:val="24"/>
                <w:szCs w:val="24"/>
                <w:lang w:val="en-US"/>
              </w:rPr>
              <w:t>minagric</w:t>
            </w:r>
            <w:proofErr w:type="spellEnd"/>
            <w:r w:rsidRPr="005C5070">
              <w:rPr>
                <w:rFonts w:ascii="Calibri" w:hAnsi="Calibri" w:cs="Calibri"/>
                <w:b/>
                <w:bCs/>
                <w:sz w:val="24"/>
                <w:szCs w:val="24"/>
              </w:rPr>
              <w:t>.</w:t>
            </w:r>
            <w:r w:rsidRPr="005C5070">
              <w:rPr>
                <w:rFonts w:ascii="Calibri" w:hAnsi="Calibri" w:cs="Calibri"/>
                <w:b/>
                <w:bCs/>
                <w:sz w:val="24"/>
                <w:szCs w:val="24"/>
                <w:lang w:val="en-US"/>
              </w:rPr>
              <w:t>gr</w:t>
            </w:r>
          </w:p>
        </w:tc>
      </w:tr>
    </w:tbl>
    <w:p w14:paraId="5614D119" w14:textId="77777777" w:rsidR="00DC3EC8" w:rsidRPr="005C5070" w:rsidRDefault="00397C9C" w:rsidP="00397C9C">
      <w:pPr>
        <w:spacing w:line="240" w:lineRule="auto"/>
        <w:ind w:left="5760"/>
        <w:rPr>
          <w:rFonts w:ascii="Calibri" w:hAnsi="Calibri" w:cs="Calibri"/>
          <w:b/>
          <w:bCs/>
          <w:sz w:val="4"/>
          <w:szCs w:val="4"/>
        </w:rPr>
      </w:pPr>
      <w:r w:rsidRPr="005C5070">
        <w:rPr>
          <w:rFonts w:ascii="Calibri" w:hAnsi="Calibri" w:cs="Calibri"/>
          <w:b/>
          <w:bCs/>
          <w:sz w:val="28"/>
          <w:szCs w:val="28"/>
        </w:rPr>
        <w:t xml:space="preserve">     </w:t>
      </w:r>
    </w:p>
    <w:p w14:paraId="77A68817" w14:textId="77777777" w:rsidR="00397C9C" w:rsidRPr="005C5070" w:rsidRDefault="007A66F3" w:rsidP="00397C9C">
      <w:pPr>
        <w:spacing w:line="240" w:lineRule="auto"/>
        <w:ind w:left="5760"/>
        <w:rPr>
          <w:rFonts w:ascii="Calibri" w:hAnsi="Calibri" w:cs="Calibri"/>
          <w:b/>
          <w:bCs/>
          <w:sz w:val="28"/>
          <w:szCs w:val="28"/>
        </w:rPr>
      </w:pPr>
      <w:r w:rsidRPr="005C5070">
        <w:rPr>
          <w:rFonts w:ascii="Calibri" w:hAnsi="Calibri" w:cs="Calibri"/>
          <w:b/>
          <w:bCs/>
          <w:sz w:val="28"/>
          <w:szCs w:val="28"/>
        </w:rPr>
        <w:t xml:space="preserve">Αθήνα </w:t>
      </w:r>
      <w:r w:rsidR="005C5070">
        <w:rPr>
          <w:rFonts w:ascii="Calibri" w:hAnsi="Calibri" w:cs="Calibri"/>
          <w:b/>
          <w:bCs/>
          <w:sz w:val="28"/>
          <w:szCs w:val="28"/>
        </w:rPr>
        <w:t>23</w:t>
      </w:r>
      <w:r w:rsidR="00E4722F" w:rsidRPr="005C5070">
        <w:rPr>
          <w:rFonts w:ascii="Calibri" w:hAnsi="Calibri" w:cs="Calibri"/>
          <w:b/>
          <w:bCs/>
          <w:sz w:val="28"/>
          <w:szCs w:val="28"/>
        </w:rPr>
        <w:t>-</w:t>
      </w:r>
      <w:r w:rsidR="005C5070">
        <w:rPr>
          <w:rFonts w:ascii="Calibri" w:hAnsi="Calibri" w:cs="Calibri"/>
          <w:b/>
          <w:bCs/>
          <w:sz w:val="28"/>
          <w:szCs w:val="28"/>
        </w:rPr>
        <w:t>04-2026</w:t>
      </w:r>
    </w:p>
    <w:p w14:paraId="4ABFDCA8" w14:textId="77777777" w:rsidR="007A66F3" w:rsidRPr="005C5070" w:rsidRDefault="00397C9C" w:rsidP="00C2080F">
      <w:pPr>
        <w:ind w:left="709" w:hanging="709"/>
        <w:jc w:val="center"/>
        <w:rPr>
          <w:rFonts w:ascii="Calibri" w:hAnsi="Calibri" w:cs="Calibri"/>
          <w:b/>
          <w:bCs/>
          <w:sz w:val="28"/>
          <w:szCs w:val="28"/>
        </w:rPr>
      </w:pPr>
      <w:r w:rsidRPr="005C5070">
        <w:rPr>
          <w:rFonts w:ascii="Calibri" w:hAnsi="Calibri" w:cs="Calibri"/>
          <w:b/>
          <w:bCs/>
          <w:sz w:val="28"/>
          <w:szCs w:val="28"/>
        </w:rPr>
        <w:t>ΔΕΛΤΙΟ  ΤΥΠΟΥ</w:t>
      </w:r>
    </w:p>
    <w:p w14:paraId="3D80EE13" w14:textId="77777777" w:rsidR="005E3E45" w:rsidRPr="005C5070" w:rsidRDefault="005E3E45" w:rsidP="00A77414">
      <w:pPr>
        <w:spacing w:before="120"/>
        <w:ind w:left="-340"/>
        <w:jc w:val="both"/>
        <w:rPr>
          <w:rFonts w:ascii="Calibri" w:hAnsi="Calibri" w:cs="Calibri"/>
          <w:b/>
          <w:sz w:val="28"/>
          <w:szCs w:val="28"/>
        </w:rPr>
      </w:pPr>
      <w:r w:rsidRPr="005C5070">
        <w:rPr>
          <w:rFonts w:ascii="Calibri" w:hAnsi="Calibri" w:cs="Calibri"/>
          <w:b/>
          <w:sz w:val="28"/>
          <w:szCs w:val="28"/>
        </w:rPr>
        <w:t xml:space="preserve">ΘΕΜΑ: </w:t>
      </w:r>
      <w:r w:rsidR="00A77414" w:rsidRPr="005C5070">
        <w:rPr>
          <w:rFonts w:ascii="Calibri" w:hAnsi="Calibri" w:cs="Calibri"/>
          <w:b/>
          <w:sz w:val="28"/>
          <w:szCs w:val="28"/>
        </w:rPr>
        <w:t>«</w:t>
      </w:r>
      <w:r w:rsidR="00862AEB" w:rsidRPr="005C5070">
        <w:rPr>
          <w:rFonts w:ascii="Calibri" w:hAnsi="Calibri" w:cs="Calibri"/>
          <w:sz w:val="24"/>
          <w:szCs w:val="24"/>
        </w:rPr>
        <w:t>ΤΙ ΘΑ ΓΙΝΕΙ ΜΕ ΤΟ ΤΑΜΕΙΟ ΓΕΩΡΓΙΑΣ ΚΑΙ ΚΤΗΝΟΤΡΟΦΙΑΣ;;;</w:t>
      </w:r>
      <w:r w:rsidR="00A77414" w:rsidRPr="005C5070">
        <w:rPr>
          <w:rFonts w:ascii="Calibri" w:hAnsi="Calibri" w:cs="Calibri"/>
          <w:b/>
          <w:color w:val="404040"/>
          <w:sz w:val="28"/>
          <w:szCs w:val="28"/>
        </w:rPr>
        <w:t>»</w:t>
      </w:r>
    </w:p>
    <w:p w14:paraId="163A2EF7" w14:textId="77777777" w:rsidR="00862AEB" w:rsidRPr="005C5070" w:rsidRDefault="005C5070" w:rsidP="00862AEB">
      <w:pPr>
        <w:spacing w:line="276" w:lineRule="auto"/>
        <w:jc w:val="both"/>
        <w:rPr>
          <w:rFonts w:ascii="Calibri" w:hAnsi="Calibri" w:cs="Calibri"/>
          <w:sz w:val="24"/>
          <w:szCs w:val="24"/>
        </w:rPr>
      </w:pPr>
      <w:r>
        <w:rPr>
          <w:rFonts w:ascii="Calibri" w:hAnsi="Calibri" w:cs="Calibri"/>
          <w:sz w:val="24"/>
          <w:szCs w:val="24"/>
        </w:rPr>
        <w:t xml:space="preserve">     </w:t>
      </w:r>
      <w:r w:rsidR="00862AEB" w:rsidRPr="005C5070">
        <w:rPr>
          <w:rFonts w:ascii="Calibri" w:hAnsi="Calibri" w:cs="Calibri"/>
          <w:sz w:val="24"/>
          <w:szCs w:val="24"/>
        </w:rPr>
        <w:t xml:space="preserve">Κατόπιν του αρχικού δημοσιεύματος και της πρώτης τοποθέτησής μας, έχουν γίνει πλέον καθημερινά θέματα σε τηλεοπτικές εκπομπές η </w:t>
      </w:r>
      <w:proofErr w:type="spellStart"/>
      <w:r w:rsidR="00862AEB" w:rsidRPr="005C5070">
        <w:rPr>
          <w:rFonts w:ascii="Calibri" w:hAnsi="Calibri" w:cs="Calibri"/>
          <w:sz w:val="24"/>
          <w:szCs w:val="24"/>
        </w:rPr>
        <w:t>κατ</w:t>
      </w:r>
      <w:proofErr w:type="spellEnd"/>
      <w:r w:rsidR="00862AEB" w:rsidRPr="005C5070">
        <w:rPr>
          <w:rFonts w:ascii="Calibri" w:hAnsi="Calibri" w:cs="Calibri"/>
          <w:sz w:val="24"/>
          <w:szCs w:val="24"/>
        </w:rPr>
        <w:t xml:space="preserve">΄ ελάχιστον αδιαφάνεια και κακοδιαχείριση του Ταμείου Γεωργίας και Κτηνοτροφίας, καθώς και η παραβίαση της σχετικής Ευρωπαϊκής Νομοθεσίας για την ανταποδοτικότητα των τελών που καταλήγουν στο εν λόγω Ταμείο, κάτι που αποβαίνει εις βάρος τόσο των γεωτεχνικών υπηρεσιών όσο και της </w:t>
      </w:r>
      <w:proofErr w:type="spellStart"/>
      <w:r w:rsidR="00862AEB" w:rsidRPr="005C5070">
        <w:rPr>
          <w:rFonts w:ascii="Calibri" w:hAnsi="Calibri" w:cs="Calibri"/>
          <w:sz w:val="24"/>
          <w:szCs w:val="24"/>
        </w:rPr>
        <w:t>αγροδιατροφικής</w:t>
      </w:r>
      <w:proofErr w:type="spellEnd"/>
      <w:r w:rsidR="00862AEB" w:rsidRPr="005C5070">
        <w:rPr>
          <w:rFonts w:ascii="Calibri" w:hAnsi="Calibri" w:cs="Calibri"/>
          <w:sz w:val="24"/>
          <w:szCs w:val="24"/>
        </w:rPr>
        <w:t xml:space="preserve"> και εξαγωγικής επιχειρηματικότητας. </w:t>
      </w:r>
    </w:p>
    <w:p w14:paraId="512867F6" w14:textId="77777777" w:rsidR="00862AEB" w:rsidRPr="005C5070" w:rsidRDefault="00862AEB" w:rsidP="00862AEB">
      <w:pPr>
        <w:spacing w:line="276" w:lineRule="auto"/>
        <w:jc w:val="both"/>
        <w:rPr>
          <w:rFonts w:ascii="Calibri" w:hAnsi="Calibri" w:cs="Calibri"/>
          <w:sz w:val="24"/>
          <w:szCs w:val="24"/>
        </w:rPr>
      </w:pPr>
      <w:r w:rsidRPr="005C5070">
        <w:rPr>
          <w:rFonts w:ascii="Calibri" w:hAnsi="Calibri" w:cs="Calibri"/>
          <w:sz w:val="24"/>
          <w:szCs w:val="24"/>
        </w:rPr>
        <w:t xml:space="preserve">     Ο τελευταίος εγκεκριμένος Ισολογισμός – Απολογισμός του Ταμείου Γεωργίας Κτηνοτροφίας που δημοσιεύτηκε στη Διαύγεια και αφορούσε το έτος 2017, εγκρίθηκε μόλις τον Ιούνιο του 2022. Την επόμενη χρονιά, σύμφωνα με το υπ’ αριθ.  100 άρθρο  του ν. 5019/2023 (ΦΕΚ Α΄ 27) που νομοθετήθηκε, λογίζονται νόμιμες (κατά παρέκκλιση κάθε αντίθετης διάταξης) οι αποφάσεις ανάληψης υποχρέωσης του Ταμείου για τα οικονομικά έτη 2019, 2020, 2021 και 2022. Παράλληλα, το αποθεματικό του Ταμείου εκτινάχθηκε αδικαιολόγητα από τα 62 εκατομμύρια ευρώ του 2017 στα 137 εκατομμύρια ευρώ. Ωστόσο οι ΔΑΟΚ των Περιφερειών που αποτελούν αρμόδιες αρχές για τη διεξαγωγή ελέγχων, για τους οποίους πληρώνονται τα ανταποδοτικά τέλη με βάση τις διατάξεις του Καν (ΕΕ) 625/2017, δεν έχουν εισπράξει ούτε ένα ευρώ από τα εν λόγω τέλη, που συνάχθηκαν. Η απαίτηση του άρθρου 85 του Καν (ΕΕ) 625/2017 για υψηλό επίπεδο διαφάνειας για την καταβολή των δαπανών έμεινε κενό γράμμα…</w:t>
      </w:r>
    </w:p>
    <w:p w14:paraId="162924FB" w14:textId="77777777" w:rsidR="00862AEB" w:rsidRPr="005C5070" w:rsidRDefault="00862AEB" w:rsidP="00862AEB">
      <w:pPr>
        <w:spacing w:line="276" w:lineRule="auto"/>
        <w:jc w:val="both"/>
        <w:rPr>
          <w:rFonts w:ascii="Calibri" w:hAnsi="Calibri" w:cs="Calibri"/>
          <w:sz w:val="24"/>
          <w:szCs w:val="24"/>
        </w:rPr>
      </w:pPr>
      <w:r w:rsidRPr="005C5070">
        <w:rPr>
          <w:rFonts w:ascii="Calibri" w:hAnsi="Calibri" w:cs="Calibri"/>
          <w:sz w:val="24"/>
          <w:szCs w:val="24"/>
        </w:rPr>
        <w:t xml:space="preserve">     Το Ταμείο Γεωργίας και Κτηνοτροφίας, το οποίο διαχειρίζεται τις εισπράξεις από τέλη, παράβολα και πρόστιμα, χρειάζεται άμεσα εξυγίανση και </w:t>
      </w:r>
      <w:proofErr w:type="spellStart"/>
      <w:r w:rsidRPr="005C5070">
        <w:rPr>
          <w:rFonts w:ascii="Calibri" w:hAnsi="Calibri" w:cs="Calibri"/>
          <w:sz w:val="24"/>
          <w:szCs w:val="24"/>
        </w:rPr>
        <w:t>εξορθολογισμό</w:t>
      </w:r>
      <w:proofErr w:type="spellEnd"/>
      <w:r w:rsidRPr="005C5070">
        <w:rPr>
          <w:rFonts w:ascii="Calibri" w:hAnsi="Calibri" w:cs="Calibri"/>
          <w:sz w:val="24"/>
          <w:szCs w:val="24"/>
        </w:rPr>
        <w:t xml:space="preserve">  προκειμένου να επιτελέσει τον κρίσιμο ρόλο του ο οποίος είναι η απρόσκοπτη λειτουργία των γεωτεχνικών υπηρεσιών. Στο παρελθόν αυτό διεξήχθη με επιτυχία, όταν διαχωρίστηκε από το ανωτέρω Ταμείο ο τομέας των Δασών και δημιουργήθηκε ο σχετικός Ειδικός Λογαριασμός, ο οποίος είναι πλέον ενταγμένος στο Πράσινο Ταμείο.</w:t>
      </w:r>
    </w:p>
    <w:p w14:paraId="437C7824" w14:textId="77777777" w:rsidR="00862AEB" w:rsidRPr="005C5070" w:rsidRDefault="00862AEB" w:rsidP="00862AEB">
      <w:pPr>
        <w:spacing w:line="276" w:lineRule="auto"/>
        <w:jc w:val="both"/>
        <w:rPr>
          <w:rFonts w:ascii="Calibri" w:hAnsi="Calibri" w:cs="Calibri"/>
          <w:sz w:val="24"/>
          <w:szCs w:val="24"/>
        </w:rPr>
      </w:pPr>
      <w:r w:rsidRPr="005C5070">
        <w:rPr>
          <w:rFonts w:ascii="Calibri" w:hAnsi="Calibri" w:cs="Calibri"/>
          <w:sz w:val="24"/>
          <w:szCs w:val="24"/>
        </w:rPr>
        <w:t xml:space="preserve">     Πληροφορούμαστε ότι, στο </w:t>
      </w:r>
      <w:proofErr w:type="spellStart"/>
      <w:r w:rsidRPr="005C5070">
        <w:rPr>
          <w:rFonts w:ascii="Calibri" w:hAnsi="Calibri" w:cs="Calibri"/>
          <w:sz w:val="24"/>
          <w:szCs w:val="24"/>
        </w:rPr>
        <w:t>ΥπΑΑΤ</w:t>
      </w:r>
      <w:proofErr w:type="spellEnd"/>
      <w:r w:rsidRPr="005C5070">
        <w:rPr>
          <w:rFonts w:ascii="Calibri" w:hAnsi="Calibri" w:cs="Calibri"/>
          <w:sz w:val="24"/>
          <w:szCs w:val="24"/>
        </w:rPr>
        <w:t xml:space="preserve"> παρατηρείται ήδη ανησυχία και προβληματισμός και για το ΤΓΚ, κι ας ελπίσουμε ότι, αυτή τη φορά θα πρυτανεύσει η λογική. Σε διαφορετική περίπτωση το αποτέλεσμα θα είναι, να δοθεί επιπλέον εργασία στην Ευρωπαϊκή Εισαγγελία.  Ίδωμεν...</w:t>
      </w:r>
    </w:p>
    <w:p w14:paraId="1919D772" w14:textId="77777777" w:rsidR="00862AEB" w:rsidRPr="005C5070" w:rsidRDefault="00862AEB" w:rsidP="00862AEB">
      <w:pPr>
        <w:spacing w:line="276" w:lineRule="auto"/>
        <w:jc w:val="both"/>
        <w:rPr>
          <w:rFonts w:ascii="Calibri" w:hAnsi="Calibri" w:cs="Calibri"/>
          <w:sz w:val="24"/>
          <w:szCs w:val="24"/>
        </w:rPr>
      </w:pPr>
      <w:r w:rsidRPr="005C5070">
        <w:rPr>
          <w:rFonts w:ascii="Calibri" w:hAnsi="Calibri" w:cs="Calibri"/>
          <w:sz w:val="24"/>
          <w:szCs w:val="24"/>
        </w:rPr>
        <w:t xml:space="preserve">     Τελευταίως φημολογείται πρόθεση για κατάργηση του Ταμείου Γεωργίας και Κτηνοτροφίας, κάτι που αποτελεί </w:t>
      </w:r>
      <w:proofErr w:type="spellStart"/>
      <w:r w:rsidRPr="005C5070">
        <w:rPr>
          <w:rStyle w:val="a4"/>
          <w:rFonts w:ascii="Calibri" w:hAnsi="Calibri" w:cs="Calibri"/>
          <w:color w:val="0A0A0A"/>
          <w:sz w:val="24"/>
          <w:szCs w:val="24"/>
          <w:shd w:val="clear" w:color="auto" w:fill="FFFFFF"/>
        </w:rPr>
        <w:t>casus</w:t>
      </w:r>
      <w:proofErr w:type="spellEnd"/>
      <w:r w:rsidRPr="005C5070">
        <w:rPr>
          <w:rStyle w:val="a4"/>
          <w:rFonts w:ascii="Calibri" w:hAnsi="Calibri" w:cs="Calibri"/>
          <w:color w:val="0A0A0A"/>
          <w:sz w:val="24"/>
          <w:szCs w:val="24"/>
          <w:shd w:val="clear" w:color="auto" w:fill="FFFFFF"/>
        </w:rPr>
        <w:t xml:space="preserve"> </w:t>
      </w:r>
      <w:proofErr w:type="spellStart"/>
      <w:r w:rsidRPr="005C5070">
        <w:rPr>
          <w:rStyle w:val="a4"/>
          <w:rFonts w:ascii="Calibri" w:hAnsi="Calibri" w:cs="Calibri"/>
          <w:color w:val="0A0A0A"/>
          <w:sz w:val="24"/>
          <w:szCs w:val="24"/>
          <w:shd w:val="clear" w:color="auto" w:fill="FFFFFF"/>
        </w:rPr>
        <w:t>belli</w:t>
      </w:r>
      <w:proofErr w:type="spellEnd"/>
      <w:r w:rsidRPr="005C5070">
        <w:rPr>
          <w:rFonts w:ascii="Calibri" w:hAnsi="Calibri" w:cs="Calibri"/>
          <w:sz w:val="24"/>
          <w:szCs w:val="24"/>
        </w:rPr>
        <w:t xml:space="preserve"> για τους γεωτεχνικούς. Το μόνο που απαραίτητο αλλά και επιβεβλημένο είναι τόσο η προκήρυξη θέσεων για στελέχωση του εν λόγω Ταμείου ως ΝΠΙΔ, κάτι που δεν έχει ποτέ υλοποιηθεί, όσο και η διαφάνεια.  </w:t>
      </w:r>
    </w:p>
    <w:p w14:paraId="0F6AE624" w14:textId="77777777" w:rsidR="00862AEB" w:rsidRPr="005C5070" w:rsidRDefault="00862AEB" w:rsidP="00862AEB">
      <w:pPr>
        <w:spacing w:line="276" w:lineRule="auto"/>
        <w:jc w:val="both"/>
        <w:rPr>
          <w:rFonts w:ascii="Calibri" w:hAnsi="Calibri" w:cs="Calibri"/>
          <w:sz w:val="24"/>
          <w:szCs w:val="24"/>
        </w:rPr>
      </w:pPr>
      <w:r w:rsidRPr="005C5070">
        <w:rPr>
          <w:rFonts w:ascii="Calibri" w:hAnsi="Calibri" w:cs="Calibri"/>
          <w:sz w:val="24"/>
          <w:szCs w:val="24"/>
        </w:rPr>
        <w:lastRenderedPageBreak/>
        <w:t xml:space="preserve">     Σε μεταβατική κατάσταση και σε ενδιάμεσο στάδιο θα μπορούσε να υποστηριχθεί η διαχείρισή του Ταμείου από τη Γενική Διεύθυνση Οικονομικού του ΥΠΑΑΤ, η οποία επιβραβεύεται με πρόσθετες αμοιβές (</w:t>
      </w:r>
      <w:r w:rsidRPr="005C5070">
        <w:rPr>
          <w:rFonts w:ascii="Calibri" w:hAnsi="Calibri" w:cs="Calibri"/>
          <w:sz w:val="24"/>
          <w:szCs w:val="24"/>
          <w:lang w:val="en-US"/>
        </w:rPr>
        <w:t>bonus</w:t>
      </w:r>
      <w:r w:rsidRPr="005C5070">
        <w:rPr>
          <w:rFonts w:ascii="Calibri" w:hAnsi="Calibri" w:cs="Calibri"/>
          <w:sz w:val="24"/>
          <w:szCs w:val="24"/>
        </w:rPr>
        <w:t xml:space="preserve">) ως ανταμοιβή για εύρεση δημιουργικών λύσεων.        </w:t>
      </w:r>
    </w:p>
    <w:p w14:paraId="130BAFA0" w14:textId="77777777" w:rsidR="00397C9C" w:rsidRPr="00FB7070" w:rsidRDefault="001F6A6A" w:rsidP="00837973">
      <w:pPr>
        <w:pStyle w:val="Web"/>
        <w:shd w:val="clear" w:color="auto" w:fill="FFFFFF"/>
        <w:spacing w:before="89" w:beforeAutospacing="0" w:after="30" w:afterAutospacing="0"/>
        <w:ind w:left="-340"/>
        <w:jc w:val="right"/>
        <w:rPr>
          <w:b/>
          <w:bCs/>
          <w:sz w:val="28"/>
          <w:szCs w:val="28"/>
        </w:rPr>
      </w:pPr>
      <w:r>
        <w:rPr>
          <w:color w:val="404040"/>
          <w:sz w:val="28"/>
          <w:szCs w:val="28"/>
        </w:rPr>
        <w:t xml:space="preserve"> </w:t>
      </w:r>
      <w:r w:rsidR="00587FDE">
        <w:rPr>
          <w:rFonts w:ascii="Zona-Pro-Regular" w:hAnsi="Zona-Pro-Regular"/>
          <w:color w:val="515150"/>
          <w:sz w:val="27"/>
          <w:szCs w:val="27"/>
        </w:rPr>
        <w:t xml:space="preserve">   </w:t>
      </w:r>
      <w:r w:rsidR="00FB7070">
        <w:rPr>
          <w:rFonts w:ascii="Zona-Pro-Regular" w:hAnsi="Zona-Pro-Regular"/>
          <w:color w:val="515150"/>
          <w:sz w:val="27"/>
          <w:szCs w:val="27"/>
        </w:rPr>
        <w:t xml:space="preserve">     </w:t>
      </w:r>
      <w:r w:rsidR="00FB7070" w:rsidRPr="00541F7D">
        <w:rPr>
          <w:sz w:val="28"/>
          <w:szCs w:val="28"/>
        </w:rPr>
        <w:t xml:space="preserve"> </w:t>
      </w:r>
      <w:r w:rsidR="00FB7070" w:rsidRPr="00541F7D">
        <w:rPr>
          <w:b/>
          <w:bCs/>
          <w:sz w:val="28"/>
          <w:szCs w:val="28"/>
        </w:rPr>
        <w:t>Για  το  Δ.Σ.</w:t>
      </w:r>
      <w:r w:rsidR="00FB7070">
        <w:rPr>
          <w:b/>
          <w:bCs/>
          <w:sz w:val="28"/>
          <w:szCs w:val="28"/>
        </w:rPr>
        <w:tab/>
      </w:r>
      <w:r w:rsidR="00FB7070">
        <w:rPr>
          <w:noProof/>
          <w:szCs w:val="28"/>
        </w:rPr>
        <w:drawing>
          <wp:inline distT="0" distB="0" distL="0" distR="0" wp14:anchorId="425D379C" wp14:editId="0D2B3524">
            <wp:extent cx="1600200" cy="1428731"/>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601483" cy="1429876"/>
                    </a:xfrm>
                    <a:prstGeom prst="rect">
                      <a:avLst/>
                    </a:prstGeom>
                    <a:noFill/>
                    <a:ln w="9525">
                      <a:noFill/>
                      <a:miter lim="800000"/>
                      <a:headEnd/>
                      <a:tailEnd/>
                    </a:ln>
                  </pic:spPr>
                </pic:pic>
              </a:graphicData>
            </a:graphic>
          </wp:inline>
        </w:drawing>
      </w:r>
    </w:p>
    <w:sectPr w:rsidR="00397C9C" w:rsidRPr="00FB7070" w:rsidSect="00DC3EC8">
      <w:pgSz w:w="11906" w:h="16838"/>
      <w:pgMar w:top="568"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Zona-Pro-Regular">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DA0AD7"/>
    <w:multiLevelType w:val="hybridMultilevel"/>
    <w:tmpl w:val="625AB1A4"/>
    <w:lvl w:ilvl="0" w:tplc="74EAAFF8">
      <w:numFmt w:val="bullet"/>
      <w:lvlText w:val="-"/>
      <w:lvlJc w:val="left"/>
      <w:pPr>
        <w:ind w:left="720" w:hanging="360"/>
      </w:pPr>
      <w:rPr>
        <w:rFonts w:ascii="Arial" w:eastAsia="Times New Roman" w:hAnsi="Aria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8907F3"/>
    <w:multiLevelType w:val="hybridMultilevel"/>
    <w:tmpl w:val="46045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7E0A29"/>
    <w:multiLevelType w:val="hybridMultilevel"/>
    <w:tmpl w:val="141488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3363801">
    <w:abstractNumId w:val="0"/>
  </w:num>
  <w:num w:numId="2" w16cid:durableId="913274663">
    <w:abstractNumId w:val="1"/>
  </w:num>
  <w:num w:numId="3" w16cid:durableId="1009016611">
    <w:abstractNumId w:val="3"/>
  </w:num>
  <w:num w:numId="4" w16cid:durableId="121916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77"/>
    <w:rsid w:val="00066B77"/>
    <w:rsid w:val="000674BA"/>
    <w:rsid w:val="00093FA8"/>
    <w:rsid w:val="001209BB"/>
    <w:rsid w:val="00171AB4"/>
    <w:rsid w:val="00180DF7"/>
    <w:rsid w:val="001B7F39"/>
    <w:rsid w:val="001E3C8E"/>
    <w:rsid w:val="001F6A6A"/>
    <w:rsid w:val="00276485"/>
    <w:rsid w:val="00301808"/>
    <w:rsid w:val="00323C7F"/>
    <w:rsid w:val="00331FEB"/>
    <w:rsid w:val="00337451"/>
    <w:rsid w:val="00386166"/>
    <w:rsid w:val="00397C9C"/>
    <w:rsid w:val="004808C9"/>
    <w:rsid w:val="00504855"/>
    <w:rsid w:val="00576487"/>
    <w:rsid w:val="00587FDE"/>
    <w:rsid w:val="005C5070"/>
    <w:rsid w:val="005D0846"/>
    <w:rsid w:val="005E3E45"/>
    <w:rsid w:val="006105F4"/>
    <w:rsid w:val="006640EF"/>
    <w:rsid w:val="00690E86"/>
    <w:rsid w:val="006D4FD5"/>
    <w:rsid w:val="007A66F3"/>
    <w:rsid w:val="007B647E"/>
    <w:rsid w:val="00824FED"/>
    <w:rsid w:val="00837973"/>
    <w:rsid w:val="00852645"/>
    <w:rsid w:val="00862AEB"/>
    <w:rsid w:val="00870592"/>
    <w:rsid w:val="00946BCF"/>
    <w:rsid w:val="0094794F"/>
    <w:rsid w:val="00976D12"/>
    <w:rsid w:val="00994CDD"/>
    <w:rsid w:val="009D040A"/>
    <w:rsid w:val="009F20A8"/>
    <w:rsid w:val="009F4D8C"/>
    <w:rsid w:val="00A27042"/>
    <w:rsid w:val="00A77414"/>
    <w:rsid w:val="00AB5654"/>
    <w:rsid w:val="00AD268E"/>
    <w:rsid w:val="00AE5FDE"/>
    <w:rsid w:val="00B36781"/>
    <w:rsid w:val="00C2080F"/>
    <w:rsid w:val="00C43365"/>
    <w:rsid w:val="00C67922"/>
    <w:rsid w:val="00CB398E"/>
    <w:rsid w:val="00D260CD"/>
    <w:rsid w:val="00D86DD3"/>
    <w:rsid w:val="00DB09FA"/>
    <w:rsid w:val="00DC3EC8"/>
    <w:rsid w:val="00E3304B"/>
    <w:rsid w:val="00E46B2A"/>
    <w:rsid w:val="00E4722F"/>
    <w:rsid w:val="00E643EE"/>
    <w:rsid w:val="00F5123C"/>
    <w:rsid w:val="00F77E9B"/>
    <w:rsid w:val="00FB70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7ECD"/>
  <w15:docId w15:val="{33DA45F5-CA33-41B6-AB99-725D908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855"/>
  </w:style>
  <w:style w:type="paragraph" w:styleId="1">
    <w:name w:val="heading 1"/>
    <w:basedOn w:val="a"/>
    <w:next w:val="a"/>
    <w:link w:val="1Char"/>
    <w:qFormat/>
    <w:rsid w:val="00397C9C"/>
    <w:pPr>
      <w:keepNext/>
      <w:numPr>
        <w:numId w:val="1"/>
      </w:numPr>
      <w:suppressAutoHyphens/>
      <w:spacing w:after="0" w:line="240" w:lineRule="auto"/>
      <w:ind w:left="0" w:right="34" w:firstLine="0"/>
      <w:jc w:val="center"/>
      <w:outlineLvl w:val="0"/>
    </w:pPr>
    <w:rPr>
      <w:rFonts w:ascii="Times New Roman" w:eastAsia="Times New Roman" w:hAnsi="Times New Roman" w:cs="Times New Roman"/>
      <w:b/>
      <w:kern w:val="0"/>
      <w:sz w:val="26"/>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704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27042"/>
    <w:rPr>
      <w:rFonts w:ascii="Tahoma" w:hAnsi="Tahoma" w:cs="Tahoma"/>
      <w:sz w:val="16"/>
      <w:szCs w:val="16"/>
    </w:rPr>
  </w:style>
  <w:style w:type="character" w:customStyle="1" w:styleId="1Char">
    <w:name w:val="Επικεφαλίδα 1 Char"/>
    <w:basedOn w:val="a0"/>
    <w:link w:val="1"/>
    <w:rsid w:val="00397C9C"/>
    <w:rPr>
      <w:rFonts w:ascii="Times New Roman" w:eastAsia="Times New Roman" w:hAnsi="Times New Roman" w:cs="Times New Roman"/>
      <w:b/>
      <w:kern w:val="0"/>
      <w:sz w:val="26"/>
      <w:szCs w:val="24"/>
      <w:lang w:eastAsia="zh-CN"/>
    </w:rPr>
  </w:style>
  <w:style w:type="paragraph" w:styleId="Web">
    <w:name w:val="Normal (Web)"/>
    <w:basedOn w:val="a"/>
    <w:uiPriority w:val="99"/>
    <w:unhideWhenUsed/>
    <w:rsid w:val="001209B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4">
    <w:name w:val="Strong"/>
    <w:basedOn w:val="a0"/>
    <w:uiPriority w:val="22"/>
    <w:qFormat/>
    <w:rsid w:val="001209BB"/>
    <w:rPr>
      <w:b/>
      <w:bCs/>
    </w:rPr>
  </w:style>
  <w:style w:type="paragraph" w:styleId="a5">
    <w:name w:val="List Paragraph"/>
    <w:basedOn w:val="a"/>
    <w:uiPriority w:val="34"/>
    <w:qFormat/>
    <w:rsid w:val="005E3E45"/>
    <w:pPr>
      <w:spacing w:after="200" w:line="276" w:lineRule="auto"/>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6873B-6F84-4358-A20C-6C60A3C0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2599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Cert</dc:creator>
  <cp:lastModifiedBy>User</cp:lastModifiedBy>
  <cp:revision>2</cp:revision>
  <cp:lastPrinted>2023-10-26T20:13:00Z</cp:lastPrinted>
  <dcterms:created xsi:type="dcterms:W3CDTF">2026-04-24T04:19:00Z</dcterms:created>
  <dcterms:modified xsi:type="dcterms:W3CDTF">2026-04-24T04:19:00Z</dcterms:modified>
</cp:coreProperties>
</file>