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095"/>
      </w:tblGrid>
      <w:tr w:rsidR="00C9076F" w14:paraId="548C7C8A" w14:textId="77777777" w:rsidTr="00A70F20">
        <w:trPr>
          <w:jc w:val="center"/>
        </w:trPr>
        <w:tc>
          <w:tcPr>
            <w:tcW w:w="10095" w:type="dxa"/>
          </w:tcPr>
          <w:p w14:paraId="4F90C103" w14:textId="77777777" w:rsidR="00C9076F" w:rsidRPr="00D55AA6" w:rsidRDefault="00C9076F" w:rsidP="00D55AA6">
            <w:pPr>
              <w:pStyle w:val="1"/>
              <w:rPr>
                <w:bCs/>
                <w:sz w:val="28"/>
                <w:szCs w:val="28"/>
              </w:rPr>
            </w:pPr>
            <w:r w:rsidRPr="00D55AA6">
              <w:rPr>
                <w:sz w:val="28"/>
                <w:szCs w:val="28"/>
              </w:rPr>
              <w:t>ΠΑΝΕΛΛΗΝΙΑ ΟΜΟΣΠΟΝΔΙΑ ΓΕΩΤΕΧΝΙΚΩΝ ΔΗΜΟΣΙΩΝ ΥΠΑΛΛΗΛΩΝ</w:t>
            </w:r>
          </w:p>
          <w:p w14:paraId="7F497910" w14:textId="77777777" w:rsidR="00C9076F" w:rsidRPr="00D55AA6" w:rsidRDefault="00C9076F" w:rsidP="00D55AA6">
            <w:pPr>
              <w:spacing w:after="0" w:line="240" w:lineRule="exact"/>
              <w:jc w:val="center"/>
              <w:rPr>
                <w:rFonts w:ascii="Times New Roman" w:hAnsi="Times New Roman"/>
                <w:b/>
                <w:sz w:val="28"/>
                <w:szCs w:val="28"/>
              </w:rPr>
            </w:pPr>
            <w:r w:rsidRPr="00D55AA6">
              <w:rPr>
                <w:rFonts w:ascii="Times New Roman" w:hAnsi="Times New Roman"/>
                <w:b/>
                <w:bCs/>
                <w:sz w:val="28"/>
                <w:szCs w:val="28"/>
              </w:rPr>
              <w:t>(ΠΟΓΕΔΥ)</w:t>
            </w:r>
          </w:p>
          <w:p w14:paraId="40B64702" w14:textId="77777777" w:rsidR="00C9076F" w:rsidRPr="00D55AA6" w:rsidRDefault="00C9076F" w:rsidP="00D55AA6">
            <w:pPr>
              <w:spacing w:after="0" w:line="240" w:lineRule="exact"/>
              <w:jc w:val="center"/>
              <w:rPr>
                <w:rFonts w:ascii="Times New Roman" w:hAnsi="Times New Roman"/>
                <w:bCs/>
                <w:sz w:val="28"/>
                <w:szCs w:val="28"/>
              </w:rPr>
            </w:pPr>
            <w:r w:rsidRPr="00D55AA6">
              <w:rPr>
                <w:rFonts w:ascii="Times New Roman" w:hAnsi="Times New Roman"/>
                <w:sz w:val="28"/>
                <w:szCs w:val="28"/>
              </w:rPr>
              <w:t>ΓΕΩΠΟΝΟΙ – ΔΑΣΟΛΟΓΟΙ – ΚΤΗΝΙΑΤΡΟΙ – ΙΧΘΥΟΛΟΓΟΙ - ΓΕΩΛΟΓΟΙ</w:t>
            </w:r>
          </w:p>
          <w:p w14:paraId="2BCEFCA8" w14:textId="77777777" w:rsidR="00C9076F" w:rsidRPr="00D55AA6" w:rsidRDefault="00C9076F" w:rsidP="00D55AA6">
            <w:pPr>
              <w:spacing w:after="0" w:line="240" w:lineRule="exact"/>
              <w:ind w:right="34"/>
              <w:jc w:val="center"/>
              <w:rPr>
                <w:rFonts w:ascii="Times New Roman" w:hAnsi="Times New Roman"/>
                <w:bCs/>
                <w:sz w:val="28"/>
                <w:szCs w:val="28"/>
              </w:rPr>
            </w:pPr>
            <w:r w:rsidRPr="00D55AA6">
              <w:rPr>
                <w:rFonts w:ascii="Times New Roman" w:hAnsi="Times New Roman"/>
                <w:bCs/>
                <w:sz w:val="28"/>
                <w:szCs w:val="28"/>
              </w:rPr>
              <w:t xml:space="preserve">Αχαρνών 2 Αθήνα Τ.Κ. 10176 Τηλ.:210-5234189, 210-2124041 </w:t>
            </w:r>
            <w:r w:rsidRPr="00D55AA6">
              <w:rPr>
                <w:rFonts w:ascii="Times New Roman" w:hAnsi="Times New Roman"/>
                <w:bCs/>
                <w:sz w:val="28"/>
                <w:szCs w:val="28"/>
                <w:lang w:val="en-US"/>
              </w:rPr>
              <w:t>FAX</w:t>
            </w:r>
            <w:r w:rsidRPr="00D55AA6">
              <w:rPr>
                <w:rFonts w:ascii="Times New Roman" w:hAnsi="Times New Roman"/>
                <w:bCs/>
                <w:sz w:val="28"/>
                <w:szCs w:val="28"/>
              </w:rPr>
              <w:t>: 210-5232240</w:t>
            </w:r>
          </w:p>
          <w:p w14:paraId="3EBF8635" w14:textId="77777777" w:rsidR="00C9076F" w:rsidRPr="00490F12" w:rsidRDefault="00C9076F" w:rsidP="00D55AA6">
            <w:pPr>
              <w:spacing w:after="0" w:line="240" w:lineRule="exact"/>
              <w:ind w:right="181"/>
              <w:jc w:val="center"/>
              <w:rPr>
                <w:rFonts w:ascii="Times New Roman" w:hAnsi="Times New Roman"/>
                <w:sz w:val="24"/>
                <w:szCs w:val="24"/>
              </w:rPr>
            </w:pPr>
            <w:proofErr w:type="gramStart"/>
            <w:r w:rsidRPr="00D55AA6">
              <w:rPr>
                <w:rFonts w:ascii="Times New Roman" w:hAnsi="Times New Roman"/>
                <w:bCs/>
                <w:sz w:val="28"/>
                <w:szCs w:val="28"/>
                <w:lang w:val="en-US"/>
              </w:rPr>
              <w:t>e</w:t>
            </w:r>
            <w:r w:rsidRPr="00D55AA6">
              <w:rPr>
                <w:rFonts w:ascii="Times New Roman" w:hAnsi="Times New Roman"/>
                <w:bCs/>
                <w:sz w:val="28"/>
                <w:szCs w:val="28"/>
              </w:rPr>
              <w:t>-</w:t>
            </w:r>
            <w:r w:rsidRPr="00D55AA6">
              <w:rPr>
                <w:rFonts w:ascii="Times New Roman" w:hAnsi="Times New Roman"/>
                <w:bCs/>
                <w:sz w:val="28"/>
                <w:szCs w:val="28"/>
                <w:lang w:val="en-US"/>
              </w:rPr>
              <w:t>mail</w:t>
            </w:r>
            <w:r w:rsidRPr="00D55AA6">
              <w:rPr>
                <w:rFonts w:ascii="Times New Roman" w:hAnsi="Times New Roman"/>
                <w:bCs/>
                <w:sz w:val="28"/>
                <w:szCs w:val="28"/>
              </w:rPr>
              <w:t>:</w:t>
            </w:r>
            <w:r w:rsidRPr="00D55AA6">
              <w:rPr>
                <w:rFonts w:ascii="Times New Roman" w:hAnsi="Times New Roman"/>
                <w:bCs/>
                <w:sz w:val="28"/>
                <w:szCs w:val="28"/>
                <w:lang w:val="en-US"/>
              </w:rPr>
              <w:t>ax</w:t>
            </w:r>
            <w:r w:rsidRPr="00D55AA6">
              <w:rPr>
                <w:rFonts w:ascii="Times New Roman" w:hAnsi="Times New Roman"/>
                <w:bCs/>
                <w:sz w:val="28"/>
                <w:szCs w:val="28"/>
              </w:rPr>
              <w:t>2</w:t>
            </w:r>
            <w:r w:rsidRPr="00D55AA6">
              <w:rPr>
                <w:rFonts w:ascii="Times New Roman" w:hAnsi="Times New Roman"/>
                <w:bCs/>
                <w:sz w:val="28"/>
                <w:szCs w:val="28"/>
                <w:lang w:val="en-US"/>
              </w:rPr>
              <w:t>u</w:t>
            </w:r>
            <w:r w:rsidRPr="00D55AA6">
              <w:rPr>
                <w:rFonts w:ascii="Times New Roman" w:hAnsi="Times New Roman"/>
                <w:bCs/>
                <w:sz w:val="28"/>
                <w:szCs w:val="28"/>
              </w:rPr>
              <w:t>128@</w:t>
            </w:r>
            <w:proofErr w:type="spellStart"/>
            <w:r w:rsidRPr="00D55AA6">
              <w:rPr>
                <w:rFonts w:ascii="Times New Roman" w:hAnsi="Times New Roman"/>
                <w:bCs/>
                <w:sz w:val="28"/>
                <w:szCs w:val="28"/>
                <w:lang w:val="en-US"/>
              </w:rPr>
              <w:t>minagric</w:t>
            </w:r>
            <w:proofErr w:type="spellEnd"/>
            <w:r w:rsidR="007204C9" w:rsidRPr="00D55AA6">
              <w:rPr>
                <w:rFonts w:ascii="Times New Roman" w:hAnsi="Times New Roman"/>
                <w:bCs/>
                <w:sz w:val="28"/>
                <w:szCs w:val="28"/>
              </w:rPr>
              <w:t>.</w:t>
            </w:r>
            <w:r w:rsidRPr="00D55AA6">
              <w:rPr>
                <w:rFonts w:ascii="Times New Roman" w:hAnsi="Times New Roman"/>
                <w:bCs/>
                <w:sz w:val="28"/>
                <w:szCs w:val="28"/>
                <w:lang w:val="en-US"/>
              </w:rPr>
              <w:t>gr</w:t>
            </w:r>
            <w:proofErr w:type="gramEnd"/>
          </w:p>
        </w:tc>
      </w:tr>
    </w:tbl>
    <w:tbl>
      <w:tblPr>
        <w:tblpPr w:leftFromText="180" w:rightFromText="180" w:vertAnchor="text" w:horzAnchor="margin" w:tblpX="-187" w:tblpY="66"/>
        <w:tblW w:w="995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53"/>
      </w:tblGrid>
      <w:tr w:rsidR="006B5BD5" w:rsidRPr="00A70F20" w14:paraId="4D4B4000" w14:textId="77777777" w:rsidTr="00A70F20">
        <w:trPr>
          <w:trHeight w:val="1233"/>
        </w:trPr>
        <w:tc>
          <w:tcPr>
            <w:tcW w:w="9953" w:type="dxa"/>
          </w:tcPr>
          <w:p w14:paraId="7D6CD782" w14:textId="77777777" w:rsidR="006B5BD5" w:rsidRPr="00D55AA6" w:rsidRDefault="006B5BD5" w:rsidP="00A70F20">
            <w:pPr>
              <w:pStyle w:val="1"/>
              <w:rPr>
                <w:bCs/>
                <w:sz w:val="28"/>
                <w:szCs w:val="28"/>
              </w:rPr>
            </w:pPr>
            <w:r w:rsidRPr="00D55AA6">
              <w:rPr>
                <w:sz w:val="28"/>
                <w:szCs w:val="28"/>
              </w:rPr>
              <w:t>ΠΑΝΕΛΛΗΝΙΑ ΕΝΩΣΗ ΓΕΩΠΟΝΩΝ ΔΗΜΟΣΙΩΝ ΥΠΑΛΛΗΛΩΝ</w:t>
            </w:r>
          </w:p>
          <w:p w14:paraId="5394A02B" w14:textId="77777777" w:rsidR="006B5BD5" w:rsidRPr="00D55AA6" w:rsidRDefault="006B5BD5" w:rsidP="00A70F20">
            <w:pPr>
              <w:spacing w:after="0"/>
              <w:jc w:val="center"/>
              <w:rPr>
                <w:rFonts w:ascii="Times New Roman" w:hAnsi="Times New Roman"/>
                <w:b/>
                <w:bCs/>
                <w:sz w:val="28"/>
                <w:szCs w:val="28"/>
              </w:rPr>
            </w:pPr>
            <w:r w:rsidRPr="00D55AA6">
              <w:rPr>
                <w:rFonts w:ascii="Times New Roman" w:hAnsi="Times New Roman"/>
                <w:b/>
                <w:bCs/>
                <w:sz w:val="28"/>
                <w:szCs w:val="28"/>
              </w:rPr>
              <w:t>(Π.Ε.Γ.Δ.Υ.)</w:t>
            </w:r>
          </w:p>
          <w:p w14:paraId="07D17AE6" w14:textId="77777777" w:rsidR="006B5BD5" w:rsidRPr="00D55AA6" w:rsidRDefault="006B5BD5" w:rsidP="00A70F20">
            <w:pPr>
              <w:spacing w:after="0"/>
              <w:ind w:right="34"/>
              <w:jc w:val="center"/>
              <w:rPr>
                <w:rFonts w:ascii="Times New Roman" w:hAnsi="Times New Roman"/>
                <w:b/>
                <w:sz w:val="28"/>
                <w:szCs w:val="28"/>
              </w:rPr>
            </w:pPr>
            <w:r w:rsidRPr="00D55AA6">
              <w:rPr>
                <w:rFonts w:ascii="Times New Roman" w:hAnsi="Times New Roman"/>
                <w:bCs/>
                <w:sz w:val="28"/>
                <w:szCs w:val="28"/>
              </w:rPr>
              <w:t xml:space="preserve">Αχαρνών 2 Αθήνα Τ.Κ. 10 176 Τηλ.:210 – 2124133, 210 – 2124307 </w:t>
            </w:r>
            <w:r w:rsidRPr="00D55AA6">
              <w:rPr>
                <w:rFonts w:ascii="Times New Roman" w:hAnsi="Times New Roman"/>
                <w:bCs/>
                <w:sz w:val="28"/>
                <w:szCs w:val="28"/>
                <w:lang w:val="en-US"/>
              </w:rPr>
              <w:t>FAX</w:t>
            </w:r>
            <w:r w:rsidRPr="00D55AA6">
              <w:rPr>
                <w:rFonts w:ascii="Times New Roman" w:hAnsi="Times New Roman"/>
                <w:bCs/>
                <w:sz w:val="28"/>
                <w:szCs w:val="28"/>
              </w:rPr>
              <w:t>: 210 – 2124127</w:t>
            </w:r>
          </w:p>
          <w:p w14:paraId="0A6484E7" w14:textId="77777777" w:rsidR="006B5BD5" w:rsidRPr="00E70707" w:rsidRDefault="006B5BD5" w:rsidP="00A70F20">
            <w:pPr>
              <w:spacing w:after="0"/>
              <w:ind w:right="34"/>
              <w:jc w:val="center"/>
              <w:rPr>
                <w:rFonts w:ascii="Arial Narrow" w:hAnsi="Arial Narrow" w:cs="Arial"/>
                <w:bCs/>
                <w:sz w:val="23"/>
                <w:szCs w:val="23"/>
                <w:lang w:val="en-US"/>
              </w:rPr>
            </w:pPr>
            <w:r w:rsidRPr="00D55AA6">
              <w:rPr>
                <w:rFonts w:ascii="Times New Roman" w:hAnsi="Times New Roman"/>
                <w:bCs/>
                <w:sz w:val="28"/>
                <w:szCs w:val="28"/>
                <w:lang w:val="en-US"/>
              </w:rPr>
              <w:t xml:space="preserve">e-mail: </w:t>
            </w:r>
            <w:hyperlink r:id="rId6" w:history="1">
              <w:r w:rsidRPr="00D55AA6">
                <w:rPr>
                  <w:rStyle w:val="-"/>
                  <w:rFonts w:ascii="Times New Roman" w:hAnsi="Times New Roman"/>
                  <w:sz w:val="28"/>
                  <w:szCs w:val="28"/>
                  <w:lang w:val="en-US"/>
                </w:rPr>
                <w:t>pegdy.geoponoi@gmail.com</w:t>
              </w:r>
            </w:hyperlink>
            <w:r w:rsidRPr="00D55AA6">
              <w:rPr>
                <w:rFonts w:ascii="Times New Roman" w:hAnsi="Times New Roman"/>
                <w:sz w:val="28"/>
                <w:szCs w:val="28"/>
                <w:lang w:val="en-US"/>
              </w:rPr>
              <w:t xml:space="preserve"> - </w:t>
            </w:r>
            <w:hyperlink r:id="rId7" w:history="1">
              <w:r w:rsidRPr="00D55AA6">
                <w:rPr>
                  <w:rStyle w:val="-"/>
                  <w:rFonts w:ascii="Times New Roman" w:hAnsi="Times New Roman"/>
                  <w:sz w:val="28"/>
                  <w:szCs w:val="28"/>
                  <w:lang w:val="en-US"/>
                </w:rPr>
                <w:t>pegdy@minagric.gr</w:t>
              </w:r>
            </w:hyperlink>
          </w:p>
        </w:tc>
      </w:tr>
    </w:tbl>
    <w:p w14:paraId="66630741" w14:textId="77777777" w:rsidR="006B5BD5" w:rsidRPr="00A70F20" w:rsidRDefault="006B5BD5" w:rsidP="006B5BD5">
      <w:pPr>
        <w:jc w:val="both"/>
        <w:rPr>
          <w:rFonts w:ascii="Times New Roman" w:eastAsia="Times New Roman" w:hAnsi="Times New Roman"/>
          <w:b/>
          <w:bCs/>
          <w:sz w:val="28"/>
          <w:szCs w:val="28"/>
        </w:rPr>
      </w:pPr>
    </w:p>
    <w:tbl>
      <w:tblPr>
        <w:tblpPr w:leftFromText="180" w:rightFromText="180" w:vertAnchor="text" w:horzAnchor="margin" w:tblpX="-152" w:tblpY="-52"/>
        <w:tblW w:w="9913" w:type="dxa"/>
        <w:tblCellMar>
          <w:left w:w="0" w:type="dxa"/>
          <w:right w:w="0" w:type="dxa"/>
        </w:tblCellMar>
        <w:tblLook w:val="04A0" w:firstRow="1" w:lastRow="0" w:firstColumn="1" w:lastColumn="0" w:noHBand="0" w:noVBand="1"/>
      </w:tblPr>
      <w:tblGrid>
        <w:gridCol w:w="9913"/>
      </w:tblGrid>
      <w:tr w:rsidR="006B5BD5" w:rsidRPr="00A70F20" w14:paraId="068CD352" w14:textId="77777777" w:rsidTr="00A70F20">
        <w:trPr>
          <w:trHeight w:val="1422"/>
        </w:trPr>
        <w:tc>
          <w:tcPr>
            <w:tcW w:w="99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9D52F9" w14:textId="77777777" w:rsidR="006B5BD5" w:rsidRPr="00D55AA6" w:rsidRDefault="006B5BD5" w:rsidP="00A70F20">
            <w:pPr>
              <w:spacing w:after="0" w:line="240" w:lineRule="auto"/>
              <w:jc w:val="center"/>
              <w:rPr>
                <w:rFonts w:ascii="Times New Roman" w:hAnsi="Times New Roman"/>
                <w:sz w:val="28"/>
                <w:szCs w:val="28"/>
              </w:rPr>
            </w:pPr>
            <w:r w:rsidRPr="00D55AA6">
              <w:rPr>
                <w:rFonts w:ascii="Times New Roman" w:hAnsi="Times New Roman"/>
                <w:b/>
                <w:bCs/>
                <w:sz w:val="28"/>
                <w:szCs w:val="28"/>
              </w:rPr>
              <w:t>ΠΑΝΕΛΛΗΝΙΑ ΕΝΩΣΗ ΚΤΗΝΙΑΤΡΩΝ ΔΗΜΟΣΙΩΝ ΥΠΑΛΛΗΛΩΝ (Π.Ε.Κ.Δ.Υ.)</w:t>
            </w:r>
          </w:p>
          <w:p w14:paraId="4084F51F" w14:textId="77777777" w:rsidR="006B5BD5" w:rsidRPr="00D55AA6" w:rsidRDefault="006B5BD5" w:rsidP="00A70F20">
            <w:pPr>
              <w:spacing w:after="0" w:line="240" w:lineRule="auto"/>
              <w:jc w:val="center"/>
              <w:rPr>
                <w:rFonts w:ascii="Times New Roman" w:hAnsi="Times New Roman"/>
                <w:sz w:val="28"/>
                <w:szCs w:val="28"/>
              </w:rPr>
            </w:pPr>
            <w:proofErr w:type="spellStart"/>
            <w:r w:rsidRPr="00D55AA6">
              <w:rPr>
                <w:rFonts w:ascii="Times New Roman" w:hAnsi="Times New Roman"/>
                <w:sz w:val="28"/>
                <w:szCs w:val="28"/>
              </w:rPr>
              <w:t>Ταχ</w:t>
            </w:r>
            <w:proofErr w:type="spellEnd"/>
            <w:r w:rsidRPr="00D55AA6">
              <w:rPr>
                <w:rFonts w:ascii="Times New Roman" w:hAnsi="Times New Roman"/>
                <w:sz w:val="28"/>
                <w:szCs w:val="28"/>
              </w:rPr>
              <w:t>. Δ/</w:t>
            </w:r>
            <w:proofErr w:type="spellStart"/>
            <w:r w:rsidRPr="00D55AA6">
              <w:rPr>
                <w:rFonts w:ascii="Times New Roman" w:hAnsi="Times New Roman"/>
                <w:sz w:val="28"/>
                <w:szCs w:val="28"/>
              </w:rPr>
              <w:t>νση</w:t>
            </w:r>
            <w:proofErr w:type="spellEnd"/>
            <w:r w:rsidRPr="00D55AA6">
              <w:rPr>
                <w:rFonts w:ascii="Times New Roman" w:hAnsi="Times New Roman"/>
                <w:sz w:val="28"/>
                <w:szCs w:val="28"/>
              </w:rPr>
              <w:t xml:space="preserve">: Παπαδιαμάντη 14 &amp; Αρέθα -  Τ.Κ. 26443  Πάτρα </w:t>
            </w:r>
          </w:p>
          <w:p w14:paraId="47BC77DC" w14:textId="77777777" w:rsidR="006B5BD5" w:rsidRPr="00D55AA6" w:rsidRDefault="006B5BD5" w:rsidP="00A70F20">
            <w:pPr>
              <w:spacing w:after="0" w:line="240" w:lineRule="auto"/>
              <w:jc w:val="center"/>
              <w:rPr>
                <w:rFonts w:ascii="Times New Roman" w:hAnsi="Times New Roman"/>
                <w:sz w:val="28"/>
                <w:szCs w:val="28"/>
                <w:lang w:val="en-US"/>
              </w:rPr>
            </w:pPr>
            <w:proofErr w:type="spellStart"/>
            <w:r w:rsidRPr="00D55AA6">
              <w:rPr>
                <w:rFonts w:ascii="Times New Roman" w:hAnsi="Times New Roman"/>
                <w:sz w:val="28"/>
                <w:szCs w:val="28"/>
              </w:rPr>
              <w:t>Τηλ</w:t>
            </w:r>
            <w:proofErr w:type="spellEnd"/>
            <w:r w:rsidRPr="00D55AA6">
              <w:rPr>
                <w:rFonts w:ascii="Times New Roman" w:hAnsi="Times New Roman"/>
                <w:sz w:val="28"/>
                <w:szCs w:val="28"/>
                <w:lang w:val="en-US"/>
              </w:rPr>
              <w:t xml:space="preserve">.:2613 613211, 697 2403960 </w:t>
            </w:r>
          </w:p>
          <w:p w14:paraId="244F0558" w14:textId="77777777" w:rsidR="006B5BD5" w:rsidRPr="00263C4B" w:rsidRDefault="006B5BD5" w:rsidP="00A70F20">
            <w:pPr>
              <w:spacing w:after="0" w:line="240" w:lineRule="auto"/>
              <w:jc w:val="center"/>
              <w:rPr>
                <w:rFonts w:eastAsiaTheme="minorHAnsi" w:cs="Calibri"/>
                <w:color w:val="000000" w:themeColor="text1"/>
                <w:lang w:val="en-US"/>
              </w:rPr>
            </w:pPr>
            <w:r w:rsidRPr="00D55AA6">
              <w:rPr>
                <w:rFonts w:ascii="Times New Roman" w:hAnsi="Times New Roman"/>
                <w:bCs/>
                <w:color w:val="000000" w:themeColor="text1"/>
                <w:sz w:val="28"/>
                <w:szCs w:val="28"/>
                <w:lang w:val="en-US"/>
              </w:rPr>
              <w:t xml:space="preserve">e-mail: </w:t>
            </w:r>
            <w:hyperlink r:id="rId8" w:history="1">
              <w:r w:rsidRPr="00D55AA6">
                <w:rPr>
                  <w:rStyle w:val="-"/>
                  <w:rFonts w:ascii="Times New Roman" w:hAnsi="Times New Roman"/>
                  <w:bCs/>
                  <w:color w:val="000000" w:themeColor="text1"/>
                  <w:sz w:val="28"/>
                  <w:szCs w:val="28"/>
                  <w:u w:val="none"/>
                  <w:lang w:val="en-US"/>
                </w:rPr>
                <w:t>pekdy2024@gmail.com</w:t>
              </w:r>
            </w:hyperlink>
            <w:r w:rsidRPr="00263C4B">
              <w:rPr>
                <w:rFonts w:cs="Calibri"/>
                <w:bCs/>
                <w:color w:val="000000" w:themeColor="text1"/>
                <w:lang w:val="en-US"/>
              </w:rPr>
              <w:t xml:space="preserve"> </w:t>
            </w:r>
          </w:p>
        </w:tc>
      </w:tr>
    </w:tbl>
    <w:p w14:paraId="56873167" w14:textId="77777777" w:rsidR="006B5BD5" w:rsidRPr="00A70F20" w:rsidRDefault="006B5BD5" w:rsidP="006B5BD5">
      <w:pPr>
        <w:jc w:val="both"/>
        <w:rPr>
          <w:rFonts w:ascii="Times New Roman" w:eastAsia="Times New Roman" w:hAnsi="Times New Roman"/>
          <w:b/>
          <w:bCs/>
          <w:sz w:val="28"/>
          <w:szCs w:val="28"/>
          <w:lang w:val="en-US"/>
        </w:rPr>
      </w:pPr>
    </w:p>
    <w:p w14:paraId="2C929971" w14:textId="0DD58957" w:rsidR="00513164" w:rsidRPr="00956853" w:rsidRDefault="00F908DB" w:rsidP="00F908DB">
      <w:pPr>
        <w:ind w:left="5760" w:firstLine="720"/>
        <w:jc w:val="both"/>
        <w:rPr>
          <w:rFonts w:ascii="Times New Roman" w:eastAsia="Times New Roman" w:hAnsi="Times New Roman"/>
          <w:b/>
          <w:bCs/>
          <w:sz w:val="28"/>
          <w:szCs w:val="28"/>
        </w:rPr>
      </w:pPr>
      <w:r w:rsidRPr="00956853">
        <w:rPr>
          <w:rFonts w:ascii="Times New Roman" w:eastAsia="Times New Roman" w:hAnsi="Times New Roman"/>
          <w:b/>
          <w:bCs/>
          <w:sz w:val="28"/>
          <w:szCs w:val="28"/>
        </w:rPr>
        <w:t>Αθήνα</w:t>
      </w:r>
      <w:r w:rsidR="00513164" w:rsidRPr="00956853">
        <w:rPr>
          <w:rFonts w:ascii="Times New Roman" w:eastAsia="Times New Roman" w:hAnsi="Times New Roman"/>
          <w:b/>
          <w:bCs/>
          <w:sz w:val="28"/>
          <w:szCs w:val="28"/>
        </w:rPr>
        <w:t xml:space="preserve"> </w:t>
      </w:r>
      <w:r w:rsidR="00525523" w:rsidRPr="00956853">
        <w:rPr>
          <w:rFonts w:ascii="Times New Roman" w:eastAsia="Times New Roman" w:hAnsi="Times New Roman"/>
          <w:b/>
          <w:bCs/>
          <w:sz w:val="28"/>
          <w:szCs w:val="28"/>
        </w:rPr>
        <w:t>2</w:t>
      </w:r>
      <w:r w:rsidR="002B189E" w:rsidRPr="00956853">
        <w:rPr>
          <w:rFonts w:ascii="Times New Roman" w:eastAsia="Times New Roman" w:hAnsi="Times New Roman"/>
          <w:b/>
          <w:bCs/>
          <w:sz w:val="28"/>
          <w:szCs w:val="28"/>
        </w:rPr>
        <w:t>2-4</w:t>
      </w:r>
      <w:r w:rsidR="00513164" w:rsidRPr="00956853">
        <w:rPr>
          <w:rFonts w:ascii="Times New Roman" w:eastAsia="Times New Roman" w:hAnsi="Times New Roman"/>
          <w:b/>
          <w:bCs/>
          <w:sz w:val="28"/>
          <w:szCs w:val="28"/>
        </w:rPr>
        <w:t>-202</w:t>
      </w:r>
      <w:r w:rsidR="002F7514" w:rsidRPr="00956853">
        <w:rPr>
          <w:rFonts w:ascii="Times New Roman" w:eastAsia="Times New Roman" w:hAnsi="Times New Roman"/>
          <w:b/>
          <w:bCs/>
          <w:sz w:val="28"/>
          <w:szCs w:val="28"/>
        </w:rPr>
        <w:t>6</w:t>
      </w:r>
    </w:p>
    <w:p w14:paraId="0F155FB1" w14:textId="60E60A18" w:rsidR="00513164" w:rsidRPr="00956853" w:rsidRDefault="00956853" w:rsidP="00F908DB">
      <w:pPr>
        <w:ind w:left="2880" w:firstLine="720"/>
        <w:jc w:val="both"/>
        <w:rPr>
          <w:rFonts w:ascii="Times New Roman" w:eastAsia="Times New Roman" w:hAnsi="Times New Roman"/>
          <w:b/>
          <w:bCs/>
          <w:sz w:val="28"/>
          <w:szCs w:val="28"/>
        </w:rPr>
      </w:pPr>
      <w:r w:rsidRPr="00956853">
        <w:rPr>
          <w:rFonts w:ascii="Times New Roman" w:eastAsia="Times New Roman" w:hAnsi="Times New Roman"/>
          <w:b/>
          <w:bCs/>
          <w:sz w:val="28"/>
          <w:szCs w:val="28"/>
        </w:rPr>
        <w:t xml:space="preserve">ΚΟΙΝΟ </w:t>
      </w:r>
      <w:r w:rsidR="00513164" w:rsidRPr="00956853">
        <w:rPr>
          <w:rFonts w:ascii="Times New Roman" w:eastAsia="Times New Roman" w:hAnsi="Times New Roman"/>
          <w:b/>
          <w:bCs/>
          <w:sz w:val="28"/>
          <w:szCs w:val="28"/>
        </w:rPr>
        <w:t>ΔΕΛΤΙΟ ΤΥΠΟΥ</w:t>
      </w:r>
    </w:p>
    <w:p w14:paraId="4204C265" w14:textId="6EDCBD3B" w:rsidR="00513164" w:rsidRPr="00956853" w:rsidRDefault="00513164" w:rsidP="00513164">
      <w:pPr>
        <w:jc w:val="both"/>
        <w:rPr>
          <w:rFonts w:ascii="Times New Roman" w:eastAsia="Times New Roman" w:hAnsi="Times New Roman"/>
          <w:b/>
          <w:sz w:val="28"/>
          <w:szCs w:val="28"/>
        </w:rPr>
      </w:pPr>
      <w:r w:rsidRPr="00956853">
        <w:rPr>
          <w:rFonts w:ascii="Times New Roman" w:eastAsia="Times New Roman" w:hAnsi="Times New Roman"/>
          <w:b/>
          <w:sz w:val="28"/>
          <w:szCs w:val="28"/>
        </w:rPr>
        <w:t>ΘΕΜΑ: «</w:t>
      </w:r>
      <w:r w:rsidR="00956853" w:rsidRPr="00956853">
        <w:rPr>
          <w:rFonts w:ascii="Times New Roman" w:eastAsia="Times New Roman" w:hAnsi="Times New Roman"/>
          <w:b/>
          <w:sz w:val="28"/>
          <w:szCs w:val="28"/>
        </w:rPr>
        <w:t>Σ</w:t>
      </w:r>
      <w:r w:rsidR="002B189E" w:rsidRPr="00956853">
        <w:rPr>
          <w:rFonts w:ascii="Times New Roman" w:eastAsia="Times New Roman" w:hAnsi="Times New Roman"/>
          <w:b/>
          <w:sz w:val="28"/>
          <w:szCs w:val="28"/>
        </w:rPr>
        <w:t>υμμετοχή Π.Ο.ΓΕ.Δ.Υ – Π.Ε.Γ.Δ.Υ – Π.Ε.Κ.Δ.Υ στην εναρκτήρια συνάντηση για την διαβούλευση της νέας ΚΑΠ 2028-2034</w:t>
      </w:r>
      <w:r w:rsidRPr="00956853">
        <w:rPr>
          <w:rFonts w:ascii="Times New Roman" w:eastAsia="Times New Roman" w:hAnsi="Times New Roman"/>
          <w:b/>
          <w:sz w:val="28"/>
          <w:szCs w:val="28"/>
        </w:rPr>
        <w:t>»</w:t>
      </w:r>
    </w:p>
    <w:p w14:paraId="75E905C9" w14:textId="77777777" w:rsidR="002B189E" w:rsidRPr="00A87BF3" w:rsidRDefault="002B189E" w:rsidP="002B189E">
      <w:pPr>
        <w:pStyle w:val="Web"/>
        <w:spacing w:before="0" w:beforeAutospacing="0" w:after="0" w:afterAutospacing="0" w:line="276" w:lineRule="auto"/>
        <w:jc w:val="both"/>
        <w:rPr>
          <w:sz w:val="28"/>
          <w:szCs w:val="28"/>
        </w:rPr>
      </w:pPr>
      <w:r w:rsidRPr="00A87BF3">
        <w:rPr>
          <w:sz w:val="28"/>
          <w:szCs w:val="28"/>
        </w:rPr>
        <w:t xml:space="preserve">Στην εναρκτήρια συνάντηση για τη δημόσια διαβούλευση της νέας Κοινής Αγροτικής Πολιτικής (Κ.Α.Π.) 2028–2034, στο πλαίσιο του Σχεδίου «Εθνικής και Περιφερειακής Εταιρικής Σχέσης», που πραγματοποιήθηκε στις 21-4-2026, συμμετείχαν η Π.Ο.ΓΕ.Δ.Υ. δια του προέδρου της κ. Νικολάου Κακαβά και του τακτικού εκπροσώπου της στην εταιρική σχέση – διαβούλευση και μέλους του Δ.Σ. κ. Θεόδωρου </w:t>
      </w:r>
      <w:proofErr w:type="spellStart"/>
      <w:r w:rsidRPr="00A87BF3">
        <w:rPr>
          <w:sz w:val="28"/>
          <w:szCs w:val="28"/>
        </w:rPr>
        <w:t>Κοκκίνη</w:t>
      </w:r>
      <w:proofErr w:type="spellEnd"/>
      <w:r w:rsidRPr="00A87BF3">
        <w:rPr>
          <w:sz w:val="28"/>
          <w:szCs w:val="28"/>
        </w:rPr>
        <w:t xml:space="preserve">, η Π.Ε.Γ.Δ.Υ. δια του προέδρου της κ. Χρήστου </w:t>
      </w:r>
      <w:proofErr w:type="spellStart"/>
      <w:r w:rsidRPr="00A87BF3">
        <w:rPr>
          <w:sz w:val="28"/>
          <w:szCs w:val="28"/>
        </w:rPr>
        <w:t>Ρούκου</w:t>
      </w:r>
      <w:proofErr w:type="spellEnd"/>
      <w:r w:rsidRPr="00A87BF3">
        <w:rPr>
          <w:sz w:val="28"/>
          <w:szCs w:val="28"/>
        </w:rPr>
        <w:t xml:space="preserve"> και η Π.Ε.Κ.Δ.Υ. δια του προέδρου της κ. Κωνσταντίνου Μήλιου.</w:t>
      </w:r>
    </w:p>
    <w:p w14:paraId="078FF1A6" w14:textId="77777777" w:rsidR="002B189E" w:rsidRPr="00A87BF3" w:rsidRDefault="002B189E" w:rsidP="002B189E">
      <w:pPr>
        <w:pStyle w:val="Web"/>
        <w:spacing w:before="0" w:beforeAutospacing="0" w:after="0" w:afterAutospacing="0" w:line="276" w:lineRule="auto"/>
        <w:jc w:val="both"/>
        <w:rPr>
          <w:sz w:val="28"/>
          <w:szCs w:val="28"/>
        </w:rPr>
      </w:pPr>
      <w:r w:rsidRPr="00A87BF3">
        <w:rPr>
          <w:sz w:val="28"/>
          <w:szCs w:val="28"/>
        </w:rPr>
        <w:t>Οι εκπρόσωποι των φορέων εξέφρασαν την ικανοποίησή τους για την έναρξη της διαδικασίας διαβούλευσης και τη διευρυμένη συμμετοχή φορέων και οργανώσεων στον σχεδιασμό της νέας Κ.Α.Π.</w:t>
      </w:r>
    </w:p>
    <w:p w14:paraId="38362A13" w14:textId="77777777" w:rsidR="002B189E" w:rsidRPr="00A87BF3" w:rsidRDefault="002B189E" w:rsidP="002B189E">
      <w:pPr>
        <w:pStyle w:val="Web"/>
        <w:spacing w:before="0" w:beforeAutospacing="0" w:after="0" w:afterAutospacing="0" w:line="276" w:lineRule="auto"/>
        <w:jc w:val="both"/>
        <w:rPr>
          <w:sz w:val="28"/>
          <w:szCs w:val="28"/>
        </w:rPr>
      </w:pPr>
      <w:r w:rsidRPr="00A87BF3">
        <w:rPr>
          <w:sz w:val="28"/>
          <w:szCs w:val="28"/>
        </w:rPr>
        <w:t xml:space="preserve">Παράλληλα, ανέδειξαν κρίσιμες προκλήσεις όπως </w:t>
      </w:r>
      <w:r>
        <w:rPr>
          <w:sz w:val="28"/>
          <w:szCs w:val="28"/>
        </w:rPr>
        <w:t xml:space="preserve">η αντιμετώπιση των </w:t>
      </w:r>
      <w:r w:rsidRPr="00A87BF3">
        <w:rPr>
          <w:sz w:val="28"/>
          <w:szCs w:val="28"/>
        </w:rPr>
        <w:t xml:space="preserve"> επιπτώσ</w:t>
      </w:r>
      <w:r>
        <w:rPr>
          <w:sz w:val="28"/>
          <w:szCs w:val="28"/>
        </w:rPr>
        <w:t>εων</w:t>
      </w:r>
      <w:r w:rsidRPr="00A87BF3">
        <w:rPr>
          <w:sz w:val="28"/>
          <w:szCs w:val="28"/>
        </w:rPr>
        <w:t xml:space="preserve"> των </w:t>
      </w:r>
      <w:proofErr w:type="spellStart"/>
      <w:r w:rsidRPr="00A87BF3">
        <w:rPr>
          <w:sz w:val="28"/>
          <w:szCs w:val="28"/>
        </w:rPr>
        <w:t>επιζωοτιών</w:t>
      </w:r>
      <w:proofErr w:type="spellEnd"/>
      <w:r w:rsidRPr="00A87BF3">
        <w:rPr>
          <w:sz w:val="28"/>
          <w:szCs w:val="28"/>
        </w:rPr>
        <w:t xml:space="preserve">, </w:t>
      </w:r>
      <w:r>
        <w:rPr>
          <w:sz w:val="28"/>
          <w:szCs w:val="28"/>
        </w:rPr>
        <w:t>τ</w:t>
      </w:r>
      <w:r w:rsidRPr="00A87BF3">
        <w:rPr>
          <w:sz w:val="28"/>
          <w:szCs w:val="28"/>
        </w:rPr>
        <w:t>η</w:t>
      </w:r>
      <w:r>
        <w:rPr>
          <w:sz w:val="28"/>
          <w:szCs w:val="28"/>
        </w:rPr>
        <w:t>ς</w:t>
      </w:r>
      <w:r w:rsidRPr="00A87BF3">
        <w:rPr>
          <w:sz w:val="28"/>
          <w:szCs w:val="28"/>
        </w:rPr>
        <w:t xml:space="preserve"> κλιματική</w:t>
      </w:r>
      <w:r>
        <w:rPr>
          <w:sz w:val="28"/>
          <w:szCs w:val="28"/>
        </w:rPr>
        <w:t>ς</w:t>
      </w:r>
      <w:r w:rsidRPr="00A87BF3">
        <w:rPr>
          <w:sz w:val="28"/>
          <w:szCs w:val="28"/>
        </w:rPr>
        <w:t xml:space="preserve"> κρίση</w:t>
      </w:r>
      <w:r>
        <w:rPr>
          <w:sz w:val="28"/>
          <w:szCs w:val="28"/>
        </w:rPr>
        <w:t>ς</w:t>
      </w:r>
      <w:r w:rsidRPr="00A87BF3">
        <w:rPr>
          <w:sz w:val="28"/>
          <w:szCs w:val="28"/>
        </w:rPr>
        <w:t>, καθώς και η αύξηση του κόστους νερού, γεωργικών εφοδίων και ζωοτροφών. Τόνισαν ότι το ήδη δυσμενές διεθνές ανταγωνιστικό περιβάλλον για τους Έλληνες αγρότες επιβαρύν</w:t>
      </w:r>
      <w:r>
        <w:rPr>
          <w:sz w:val="28"/>
          <w:szCs w:val="28"/>
        </w:rPr>
        <w:t xml:space="preserve">θηκε </w:t>
      </w:r>
      <w:r w:rsidRPr="00A87BF3">
        <w:rPr>
          <w:sz w:val="28"/>
          <w:szCs w:val="28"/>
        </w:rPr>
        <w:t xml:space="preserve">περαιτέρω από τις </w:t>
      </w:r>
      <w:r w:rsidRPr="00A87BF3">
        <w:rPr>
          <w:sz w:val="28"/>
          <w:szCs w:val="28"/>
        </w:rPr>
        <w:lastRenderedPageBreak/>
        <w:t>επιλογές της Ε.Ε. για σύναψη εμπορικών συμφωνιών με χώρες της MERCOSUR, την Ινδία κ.ά.</w:t>
      </w:r>
    </w:p>
    <w:p w14:paraId="10F8DA4B" w14:textId="77777777" w:rsidR="002B189E" w:rsidRPr="00A87BF3" w:rsidRDefault="002B189E" w:rsidP="002B189E">
      <w:pPr>
        <w:pStyle w:val="Web"/>
        <w:spacing w:before="0" w:beforeAutospacing="0" w:after="0" w:afterAutospacing="0" w:line="276" w:lineRule="auto"/>
        <w:jc w:val="both"/>
        <w:rPr>
          <w:sz w:val="28"/>
          <w:szCs w:val="28"/>
        </w:rPr>
      </w:pPr>
      <w:r w:rsidRPr="00A87BF3">
        <w:rPr>
          <w:sz w:val="28"/>
          <w:szCs w:val="28"/>
        </w:rPr>
        <w:t>Επεσήμαναν ότι η μείωση των διαθέσιμων πόρων και η ενοποίηση των δύο πυλώνων της Κ.Α.Π. θα περιορίσουν τη στήριξη του αγροτικού εισοδήματος και θα αυξήσουν την ανάγκη εθνικής συμμετοχής, η οποία δεν διασφαλίζεται διαχρονικά.</w:t>
      </w:r>
    </w:p>
    <w:p w14:paraId="35DB3C59" w14:textId="77777777" w:rsidR="002B189E" w:rsidRPr="00A87BF3" w:rsidRDefault="002B189E" w:rsidP="002B189E">
      <w:pPr>
        <w:pStyle w:val="Web"/>
        <w:spacing w:before="0" w:beforeAutospacing="0" w:after="0" w:afterAutospacing="0" w:line="276" w:lineRule="auto"/>
        <w:jc w:val="both"/>
        <w:rPr>
          <w:sz w:val="28"/>
          <w:szCs w:val="28"/>
        </w:rPr>
      </w:pPr>
      <w:r w:rsidRPr="00A87BF3">
        <w:rPr>
          <w:sz w:val="28"/>
          <w:szCs w:val="28"/>
        </w:rPr>
        <w:t>Έθεσαν επίσης τον προβληματισμό τους για το καθεστώς χορήγησης των ενισχύσεων, επισημαίνοντας την ανάγκη σαφών και δίκαιων κριτηρίων, προκειμένου να αποφευχθεί η απώλεια πόρων και να στηριχθεί ουσιαστικά η παραγωγή.</w:t>
      </w:r>
    </w:p>
    <w:p w14:paraId="36A6F8A6" w14:textId="77777777" w:rsidR="002B189E" w:rsidRPr="00A87BF3" w:rsidRDefault="002B189E" w:rsidP="002B189E">
      <w:pPr>
        <w:pStyle w:val="Web"/>
        <w:spacing w:before="0" w:beforeAutospacing="0" w:after="0" w:afterAutospacing="0" w:line="276" w:lineRule="auto"/>
        <w:jc w:val="both"/>
        <w:rPr>
          <w:sz w:val="28"/>
          <w:szCs w:val="28"/>
        </w:rPr>
      </w:pPr>
      <w:r w:rsidRPr="00A87BF3">
        <w:rPr>
          <w:sz w:val="28"/>
          <w:szCs w:val="28"/>
        </w:rPr>
        <w:t>Πρότειναν την άμεση ολοκλήρωση των διαχειριστικών σχεδίων για τις βοσκήσιμες γαίες, τον τερματισμό της αλόγιστης διάθεσης αγροτικής γης – ακόμη και γης υψηλής παραγωγικότητας – για εγκατάσταση Α.Π.Ε., καθώς και τη διαμόρφωση ενιαίου εθνικού φορέα διαχείρισης υδάτινων πόρων, αντί αποσπασματικών και αναποτελεσματικών σχημάτων.</w:t>
      </w:r>
    </w:p>
    <w:p w14:paraId="3E9DDBBC" w14:textId="77777777" w:rsidR="002B189E" w:rsidRPr="00A87BF3" w:rsidRDefault="002B189E" w:rsidP="002B189E">
      <w:pPr>
        <w:pStyle w:val="Web"/>
        <w:spacing w:before="0" w:beforeAutospacing="0" w:after="0" w:afterAutospacing="0" w:line="276" w:lineRule="auto"/>
        <w:jc w:val="both"/>
        <w:rPr>
          <w:sz w:val="28"/>
          <w:szCs w:val="28"/>
        </w:rPr>
      </w:pPr>
      <w:r w:rsidRPr="00A87BF3">
        <w:rPr>
          <w:sz w:val="28"/>
          <w:szCs w:val="28"/>
        </w:rPr>
        <w:t>Τόνισαν ότι η επιτυχία της Κ.Α.Π. δεν αποτιμάται μόνο σε δημοσιονομικό επίπεδο, αλλά κυρίως από την παραμονή του αγρότη στην παραγωγή, τη βιωσιμότητα και την ανθεκτικότητα των εκμεταλλεύσεων, την ανανέωση των γενεών και την αξιοπιστία στη διαχείριση των πόρων.</w:t>
      </w:r>
    </w:p>
    <w:p w14:paraId="4903968F" w14:textId="77777777" w:rsidR="002B189E" w:rsidRPr="00A87BF3" w:rsidRDefault="002B189E" w:rsidP="002B189E">
      <w:pPr>
        <w:pStyle w:val="Web"/>
        <w:spacing w:before="0" w:beforeAutospacing="0" w:after="0" w:afterAutospacing="0" w:line="276" w:lineRule="auto"/>
        <w:jc w:val="both"/>
        <w:rPr>
          <w:sz w:val="28"/>
          <w:szCs w:val="28"/>
        </w:rPr>
      </w:pPr>
      <w:r w:rsidRPr="00A87BF3">
        <w:rPr>
          <w:sz w:val="28"/>
          <w:szCs w:val="28"/>
        </w:rPr>
        <w:t>Υπογράμμισαν ότι χωρίς διαφάνεια, καθαρούς κανόνες και εμπιστοσύνη δεν μπορεί να υπάρξει αποτελεσματική αγροτική πολιτική, επισημαίνοντας πως το πρόσφατο σκάνδαλο της «ΟΠΕΚΕΠΙΑΔΑΣ» ανέδειξε χρόνιες παθογένειες ενός συστήματος, τις οποίες η Π.Ο.ΓΕ.Δ.Υ. είχε εγκαίρως καταγγείλει</w:t>
      </w:r>
      <w:r>
        <w:rPr>
          <w:sz w:val="28"/>
          <w:szCs w:val="28"/>
        </w:rPr>
        <w:t xml:space="preserve"> και ΄΄πολεμά΄΄ ακόμη</w:t>
      </w:r>
      <w:r w:rsidRPr="00A87BF3">
        <w:rPr>
          <w:sz w:val="28"/>
          <w:szCs w:val="28"/>
        </w:rPr>
        <w:t>.</w:t>
      </w:r>
    </w:p>
    <w:p w14:paraId="29B3CEEE" w14:textId="77777777" w:rsidR="002B189E" w:rsidRPr="00A87BF3" w:rsidRDefault="002B189E" w:rsidP="002B189E">
      <w:pPr>
        <w:pStyle w:val="Web"/>
        <w:spacing w:before="0" w:beforeAutospacing="0" w:after="0" w:afterAutospacing="0" w:line="276" w:lineRule="auto"/>
        <w:jc w:val="both"/>
        <w:rPr>
          <w:sz w:val="28"/>
          <w:szCs w:val="28"/>
        </w:rPr>
      </w:pPr>
      <w:r w:rsidRPr="00A87BF3">
        <w:rPr>
          <w:sz w:val="28"/>
          <w:szCs w:val="28"/>
        </w:rPr>
        <w:t xml:space="preserve">Ιδιαίτερη έμφαση δόθηκε στην ανάγκη αναβάθμισης των γεωτεχνικών δομών της χώρας και της γεωργικής συμβουλής, με ουσιαστική συμμετοχή των γεωπόνων και κτηνιάτρων δημοσίων υπαλλήλων. Τονίστηκε ότι αυτό δεν μπορεί να επιτευχθεί με ένα </w:t>
      </w:r>
      <w:proofErr w:type="spellStart"/>
      <w:r w:rsidRPr="00A87BF3">
        <w:rPr>
          <w:sz w:val="28"/>
          <w:szCs w:val="28"/>
        </w:rPr>
        <w:t>απαξιωμένο</w:t>
      </w:r>
      <w:proofErr w:type="spellEnd"/>
      <w:r w:rsidRPr="00A87BF3">
        <w:rPr>
          <w:sz w:val="28"/>
          <w:szCs w:val="28"/>
        </w:rPr>
        <w:t xml:space="preserve"> ΥΠ.Α.Α.Τ., το οποίο απαιτεί συνολικό επανασχεδιασμό και ενίσχυση.</w:t>
      </w:r>
    </w:p>
    <w:p w14:paraId="72165846" w14:textId="77777777" w:rsidR="002B189E" w:rsidRPr="00A87BF3" w:rsidRDefault="002B189E" w:rsidP="002B189E">
      <w:pPr>
        <w:pStyle w:val="Web"/>
        <w:spacing w:before="0" w:beforeAutospacing="0" w:after="0" w:afterAutospacing="0" w:line="276" w:lineRule="auto"/>
        <w:jc w:val="both"/>
        <w:rPr>
          <w:sz w:val="28"/>
          <w:szCs w:val="28"/>
        </w:rPr>
      </w:pPr>
      <w:r w:rsidRPr="00A87BF3">
        <w:rPr>
          <w:sz w:val="28"/>
          <w:szCs w:val="28"/>
        </w:rPr>
        <w:t>Κλείνοντας, οι συμμετέχοντες ευχαρίστησαν για τη συμμετοχή τους ως «εταίροι» στον σχεδιασμό της νέας Κ.Α.Π. 2028–2034 και δήλωσαν την πρόθεσή τους για ενεργό και παραγωγική συμβολή σε όλα τα στάδια της διαβούλευσης, προς όφελος των αγροτών, της κοινωνίας και της χώρας.</w:t>
      </w:r>
    </w:p>
    <w:p w14:paraId="5E457123" w14:textId="77777777" w:rsidR="002B189E" w:rsidRPr="00A87BF3" w:rsidRDefault="002B189E" w:rsidP="002B189E">
      <w:pPr>
        <w:spacing w:after="0"/>
        <w:jc w:val="both"/>
        <w:rPr>
          <w:rFonts w:ascii="Times New Roman" w:hAnsi="Times New Roman"/>
          <w:sz w:val="28"/>
          <w:szCs w:val="28"/>
        </w:rPr>
      </w:pPr>
    </w:p>
    <w:p w14:paraId="016C8D3A" w14:textId="081DEF97" w:rsidR="00842E46" w:rsidRPr="003F3A97" w:rsidRDefault="00D55AA6" w:rsidP="00D55AA6">
      <w:pPr>
        <w:ind w:right="-193"/>
        <w:rPr>
          <w:rFonts w:ascii="Times New Roman" w:hAnsi="Times New Roman"/>
          <w:b/>
          <w:bCs/>
          <w:sz w:val="28"/>
          <w:szCs w:val="28"/>
        </w:rPr>
      </w:pPr>
      <w:r>
        <w:rPr>
          <w:rFonts w:asciiTheme="minorHAnsi" w:eastAsia="Times New Roman" w:hAnsiTheme="minorHAnsi" w:cstheme="minorHAnsi"/>
          <w:b/>
          <w:sz w:val="28"/>
          <w:szCs w:val="28"/>
        </w:rPr>
        <w:t>Για τα Δ.Σ</w:t>
      </w:r>
      <w:r w:rsidR="002B189E">
        <w:rPr>
          <w:rFonts w:asciiTheme="minorHAnsi" w:eastAsia="Times New Roman" w:hAnsiTheme="minorHAnsi" w:cstheme="minorHAnsi"/>
          <w:sz w:val="28"/>
          <w:szCs w:val="28"/>
        </w:rPr>
        <w:t xml:space="preserve"> </w:t>
      </w:r>
    </w:p>
    <w:p w14:paraId="3C729C0C" w14:textId="77777777" w:rsidR="00842E46" w:rsidRPr="00842E46" w:rsidRDefault="009F4164" w:rsidP="00842E46">
      <w:pPr>
        <w:spacing w:line="240" w:lineRule="auto"/>
        <w:ind w:left="5760"/>
        <w:jc w:val="both"/>
        <w:rPr>
          <w:rFonts w:ascii="Times New Roman" w:hAnsi="Times New Roman"/>
          <w:b/>
          <w:bCs/>
          <w:sz w:val="28"/>
          <w:szCs w:val="28"/>
        </w:rPr>
      </w:pPr>
      <w:r>
        <w:rPr>
          <w:rFonts w:ascii="Times New Roman" w:hAnsi="Times New Roman"/>
          <w:b/>
          <w:bCs/>
          <w:sz w:val="28"/>
          <w:szCs w:val="28"/>
        </w:rPr>
        <w:tab/>
      </w:r>
      <w:r w:rsidR="00B109A1" w:rsidRPr="00940202">
        <w:rPr>
          <w:noProof/>
          <w:szCs w:val="28"/>
          <w:lang w:eastAsia="el-GR"/>
        </w:rPr>
        <w:drawing>
          <wp:inline distT="0" distB="0" distL="0" distR="0" wp14:anchorId="13D9581F" wp14:editId="14166173">
            <wp:extent cx="1552877" cy="1383814"/>
            <wp:effectExtent l="19050" t="0" r="9223"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6530" cy="1387070"/>
                    </a:xfrm>
                    <a:prstGeom prst="rect">
                      <a:avLst/>
                    </a:prstGeom>
                    <a:noFill/>
                    <a:ln>
                      <a:noFill/>
                    </a:ln>
                  </pic:spPr>
                </pic:pic>
              </a:graphicData>
            </a:graphic>
          </wp:inline>
        </w:drawing>
      </w:r>
    </w:p>
    <w:sectPr w:rsidR="00842E46" w:rsidRPr="00842E46" w:rsidSect="00EA1E18">
      <w:pgSz w:w="11906" w:h="16838"/>
      <w:pgMar w:top="1440" w:right="991"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6" w15:restartNumberingAfterBreak="0">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4"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5"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6" w15:restartNumberingAfterBreak="0">
    <w:nsid w:val="77204716"/>
    <w:multiLevelType w:val="hybridMultilevel"/>
    <w:tmpl w:val="663C6CEC"/>
    <w:lvl w:ilvl="0" w:tplc="C85C0446">
      <w:start w:val="1"/>
      <w:numFmt w:val="decimal"/>
      <w:lvlText w:val="%1."/>
      <w:lvlJc w:val="left"/>
      <w:pPr>
        <w:ind w:left="270" w:hanging="360"/>
      </w:pPr>
      <w:rPr>
        <w:rFonts w:ascii="Times New Roman" w:hAnsi="Times New Roman" w:cs="Times New Roman" w:hint="default"/>
        <w:b/>
        <w:sz w:val="26"/>
        <w:u w:val="single"/>
      </w:rPr>
    </w:lvl>
    <w:lvl w:ilvl="1" w:tplc="04080019" w:tentative="1">
      <w:start w:val="1"/>
      <w:numFmt w:val="lowerLetter"/>
      <w:lvlText w:val="%2."/>
      <w:lvlJc w:val="left"/>
      <w:pPr>
        <w:ind w:left="990" w:hanging="360"/>
      </w:pPr>
    </w:lvl>
    <w:lvl w:ilvl="2" w:tplc="0408001B" w:tentative="1">
      <w:start w:val="1"/>
      <w:numFmt w:val="lowerRoman"/>
      <w:lvlText w:val="%3."/>
      <w:lvlJc w:val="right"/>
      <w:pPr>
        <w:ind w:left="1710" w:hanging="180"/>
      </w:pPr>
    </w:lvl>
    <w:lvl w:ilvl="3" w:tplc="0408000F" w:tentative="1">
      <w:start w:val="1"/>
      <w:numFmt w:val="decimal"/>
      <w:lvlText w:val="%4."/>
      <w:lvlJc w:val="left"/>
      <w:pPr>
        <w:ind w:left="2430" w:hanging="360"/>
      </w:pPr>
    </w:lvl>
    <w:lvl w:ilvl="4" w:tplc="04080019" w:tentative="1">
      <w:start w:val="1"/>
      <w:numFmt w:val="lowerLetter"/>
      <w:lvlText w:val="%5."/>
      <w:lvlJc w:val="left"/>
      <w:pPr>
        <w:ind w:left="3150" w:hanging="360"/>
      </w:pPr>
    </w:lvl>
    <w:lvl w:ilvl="5" w:tplc="0408001B" w:tentative="1">
      <w:start w:val="1"/>
      <w:numFmt w:val="lowerRoman"/>
      <w:lvlText w:val="%6."/>
      <w:lvlJc w:val="right"/>
      <w:pPr>
        <w:ind w:left="3870" w:hanging="180"/>
      </w:pPr>
    </w:lvl>
    <w:lvl w:ilvl="6" w:tplc="0408000F" w:tentative="1">
      <w:start w:val="1"/>
      <w:numFmt w:val="decimal"/>
      <w:lvlText w:val="%7."/>
      <w:lvlJc w:val="left"/>
      <w:pPr>
        <w:ind w:left="4590" w:hanging="360"/>
      </w:pPr>
    </w:lvl>
    <w:lvl w:ilvl="7" w:tplc="04080019" w:tentative="1">
      <w:start w:val="1"/>
      <w:numFmt w:val="lowerLetter"/>
      <w:lvlText w:val="%8."/>
      <w:lvlJc w:val="left"/>
      <w:pPr>
        <w:ind w:left="5310" w:hanging="360"/>
      </w:pPr>
    </w:lvl>
    <w:lvl w:ilvl="8" w:tplc="0408001B" w:tentative="1">
      <w:start w:val="1"/>
      <w:numFmt w:val="lowerRoman"/>
      <w:lvlText w:val="%9."/>
      <w:lvlJc w:val="right"/>
      <w:pPr>
        <w:ind w:left="6030" w:hanging="180"/>
      </w:pPr>
    </w:lvl>
  </w:abstractNum>
  <w:abstractNum w:abstractNumId="17" w15:restartNumberingAfterBreak="0">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16cid:durableId="1715889292">
    <w:abstractNumId w:val="0"/>
  </w:num>
  <w:num w:numId="2" w16cid:durableId="261686715">
    <w:abstractNumId w:val="15"/>
  </w:num>
  <w:num w:numId="3" w16cid:durableId="406532859">
    <w:abstractNumId w:val="10"/>
  </w:num>
  <w:num w:numId="4" w16cid:durableId="1906910383">
    <w:abstractNumId w:val="11"/>
  </w:num>
  <w:num w:numId="5" w16cid:durableId="16280222">
    <w:abstractNumId w:val="14"/>
  </w:num>
  <w:num w:numId="6" w16cid:durableId="344288675">
    <w:abstractNumId w:val="13"/>
  </w:num>
  <w:num w:numId="7" w16cid:durableId="190536334">
    <w:abstractNumId w:val="5"/>
  </w:num>
  <w:num w:numId="8" w16cid:durableId="1161047796">
    <w:abstractNumId w:val="12"/>
  </w:num>
  <w:num w:numId="9" w16cid:durableId="327028704">
    <w:abstractNumId w:val="3"/>
  </w:num>
  <w:num w:numId="10" w16cid:durableId="122308957">
    <w:abstractNumId w:val="17"/>
  </w:num>
  <w:num w:numId="11" w16cid:durableId="13307289">
    <w:abstractNumId w:val="2"/>
  </w:num>
  <w:num w:numId="12" w16cid:durableId="388068611">
    <w:abstractNumId w:val="1"/>
  </w:num>
  <w:num w:numId="13" w16cid:durableId="1280797626">
    <w:abstractNumId w:val="7"/>
  </w:num>
  <w:num w:numId="14" w16cid:durableId="1410617203">
    <w:abstractNumId w:val="9"/>
  </w:num>
  <w:num w:numId="15" w16cid:durableId="1610892477">
    <w:abstractNumId w:val="4"/>
  </w:num>
  <w:num w:numId="16" w16cid:durableId="44380459">
    <w:abstractNumId w:val="8"/>
  </w:num>
  <w:num w:numId="17" w16cid:durableId="1321230185">
    <w:abstractNumId w:val="6"/>
  </w:num>
  <w:num w:numId="18" w16cid:durableId="8945106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33AB"/>
    <w:rsid w:val="00005E3E"/>
    <w:rsid w:val="000078D6"/>
    <w:rsid w:val="00021220"/>
    <w:rsid w:val="0002270C"/>
    <w:rsid w:val="00032A80"/>
    <w:rsid w:val="00037894"/>
    <w:rsid w:val="00044EBC"/>
    <w:rsid w:val="000627A3"/>
    <w:rsid w:val="00072B5B"/>
    <w:rsid w:val="00084B19"/>
    <w:rsid w:val="00087CB3"/>
    <w:rsid w:val="00093D4D"/>
    <w:rsid w:val="00095B7C"/>
    <w:rsid w:val="000B170D"/>
    <w:rsid w:val="000B6288"/>
    <w:rsid w:val="000C7053"/>
    <w:rsid w:val="000D706D"/>
    <w:rsid w:val="000F0A9C"/>
    <w:rsid w:val="000F39E0"/>
    <w:rsid w:val="00107239"/>
    <w:rsid w:val="0011039E"/>
    <w:rsid w:val="00113AA9"/>
    <w:rsid w:val="00144D11"/>
    <w:rsid w:val="00150AA2"/>
    <w:rsid w:val="00167B46"/>
    <w:rsid w:val="001801F9"/>
    <w:rsid w:val="00183624"/>
    <w:rsid w:val="00186A34"/>
    <w:rsid w:val="00193D93"/>
    <w:rsid w:val="001C3965"/>
    <w:rsid w:val="001C58C6"/>
    <w:rsid w:val="001D4992"/>
    <w:rsid w:val="001D70FB"/>
    <w:rsid w:val="001E2B23"/>
    <w:rsid w:val="001F626C"/>
    <w:rsid w:val="002100BE"/>
    <w:rsid w:val="002146C0"/>
    <w:rsid w:val="0023184D"/>
    <w:rsid w:val="00243B9D"/>
    <w:rsid w:val="00260EE1"/>
    <w:rsid w:val="0027531B"/>
    <w:rsid w:val="002778C0"/>
    <w:rsid w:val="002B0CEE"/>
    <w:rsid w:val="002B189E"/>
    <w:rsid w:val="002E2101"/>
    <w:rsid w:val="002F6A6E"/>
    <w:rsid w:val="002F7514"/>
    <w:rsid w:val="0031532B"/>
    <w:rsid w:val="00316345"/>
    <w:rsid w:val="00322FF2"/>
    <w:rsid w:val="003243D1"/>
    <w:rsid w:val="003314B3"/>
    <w:rsid w:val="00343378"/>
    <w:rsid w:val="00345081"/>
    <w:rsid w:val="00356C93"/>
    <w:rsid w:val="00363F9F"/>
    <w:rsid w:val="00372B2E"/>
    <w:rsid w:val="003752CC"/>
    <w:rsid w:val="003A4624"/>
    <w:rsid w:val="003A62E5"/>
    <w:rsid w:val="003B476C"/>
    <w:rsid w:val="003C2F93"/>
    <w:rsid w:val="003C5036"/>
    <w:rsid w:val="003D7E34"/>
    <w:rsid w:val="003F0E0C"/>
    <w:rsid w:val="003F3A97"/>
    <w:rsid w:val="00404FD5"/>
    <w:rsid w:val="00421E14"/>
    <w:rsid w:val="00445A88"/>
    <w:rsid w:val="004460CE"/>
    <w:rsid w:val="00454FAC"/>
    <w:rsid w:val="00455915"/>
    <w:rsid w:val="00455ED4"/>
    <w:rsid w:val="00463C15"/>
    <w:rsid w:val="00490F12"/>
    <w:rsid w:val="00491DD6"/>
    <w:rsid w:val="004A27D5"/>
    <w:rsid w:val="004B0A48"/>
    <w:rsid w:val="004B2B6C"/>
    <w:rsid w:val="004B4FE3"/>
    <w:rsid w:val="004C60ED"/>
    <w:rsid w:val="005054EA"/>
    <w:rsid w:val="00513164"/>
    <w:rsid w:val="00513CEF"/>
    <w:rsid w:val="00525523"/>
    <w:rsid w:val="00543079"/>
    <w:rsid w:val="0057520D"/>
    <w:rsid w:val="005A44F1"/>
    <w:rsid w:val="005B2F89"/>
    <w:rsid w:val="005C0ABF"/>
    <w:rsid w:val="005D323E"/>
    <w:rsid w:val="005E0A32"/>
    <w:rsid w:val="005E52F3"/>
    <w:rsid w:val="005E670F"/>
    <w:rsid w:val="005F1CC2"/>
    <w:rsid w:val="0062468F"/>
    <w:rsid w:val="00630AB0"/>
    <w:rsid w:val="006462F2"/>
    <w:rsid w:val="006507BF"/>
    <w:rsid w:val="006567DE"/>
    <w:rsid w:val="006579AF"/>
    <w:rsid w:val="006638C2"/>
    <w:rsid w:val="00665969"/>
    <w:rsid w:val="00666081"/>
    <w:rsid w:val="0068766C"/>
    <w:rsid w:val="00694C36"/>
    <w:rsid w:val="006A1712"/>
    <w:rsid w:val="006A1FFB"/>
    <w:rsid w:val="006B5BD5"/>
    <w:rsid w:val="006B6888"/>
    <w:rsid w:val="006D01AF"/>
    <w:rsid w:val="006D11F3"/>
    <w:rsid w:val="006E31C1"/>
    <w:rsid w:val="006E3A4E"/>
    <w:rsid w:val="006F1A94"/>
    <w:rsid w:val="006F5222"/>
    <w:rsid w:val="00714FDB"/>
    <w:rsid w:val="00716E70"/>
    <w:rsid w:val="007204C9"/>
    <w:rsid w:val="00733ECD"/>
    <w:rsid w:val="00737453"/>
    <w:rsid w:val="00742BAF"/>
    <w:rsid w:val="00751DCA"/>
    <w:rsid w:val="007639F1"/>
    <w:rsid w:val="00773BA0"/>
    <w:rsid w:val="0077413F"/>
    <w:rsid w:val="007759AC"/>
    <w:rsid w:val="00776D1B"/>
    <w:rsid w:val="00787609"/>
    <w:rsid w:val="007B126A"/>
    <w:rsid w:val="007B65FE"/>
    <w:rsid w:val="007B766E"/>
    <w:rsid w:val="007C56E6"/>
    <w:rsid w:val="007E4951"/>
    <w:rsid w:val="00802A67"/>
    <w:rsid w:val="0081539C"/>
    <w:rsid w:val="008278C0"/>
    <w:rsid w:val="00835764"/>
    <w:rsid w:val="00842E46"/>
    <w:rsid w:val="00850CA4"/>
    <w:rsid w:val="0085391A"/>
    <w:rsid w:val="0085510B"/>
    <w:rsid w:val="00855D5B"/>
    <w:rsid w:val="008577CD"/>
    <w:rsid w:val="00866852"/>
    <w:rsid w:val="00871217"/>
    <w:rsid w:val="008A650B"/>
    <w:rsid w:val="008B142B"/>
    <w:rsid w:val="008B5FBD"/>
    <w:rsid w:val="008B683E"/>
    <w:rsid w:val="008C415C"/>
    <w:rsid w:val="008D3BDD"/>
    <w:rsid w:val="008D63B6"/>
    <w:rsid w:val="008F1460"/>
    <w:rsid w:val="008F2973"/>
    <w:rsid w:val="008F4B7A"/>
    <w:rsid w:val="0091249C"/>
    <w:rsid w:val="00934A88"/>
    <w:rsid w:val="00937ED3"/>
    <w:rsid w:val="00947421"/>
    <w:rsid w:val="009475B9"/>
    <w:rsid w:val="00947EF5"/>
    <w:rsid w:val="00956853"/>
    <w:rsid w:val="009647F7"/>
    <w:rsid w:val="00972571"/>
    <w:rsid w:val="00975546"/>
    <w:rsid w:val="009869A5"/>
    <w:rsid w:val="009875DA"/>
    <w:rsid w:val="00987A30"/>
    <w:rsid w:val="009C6A34"/>
    <w:rsid w:val="009F4164"/>
    <w:rsid w:val="00A16046"/>
    <w:rsid w:val="00A371D8"/>
    <w:rsid w:val="00A37EAC"/>
    <w:rsid w:val="00A65F17"/>
    <w:rsid w:val="00A665FA"/>
    <w:rsid w:val="00A70F20"/>
    <w:rsid w:val="00A73A7C"/>
    <w:rsid w:val="00A863B9"/>
    <w:rsid w:val="00A86B7D"/>
    <w:rsid w:val="00A90934"/>
    <w:rsid w:val="00AA5E08"/>
    <w:rsid w:val="00AB599F"/>
    <w:rsid w:val="00AE163F"/>
    <w:rsid w:val="00B01FB1"/>
    <w:rsid w:val="00B109A1"/>
    <w:rsid w:val="00B4263C"/>
    <w:rsid w:val="00B5059B"/>
    <w:rsid w:val="00B557DD"/>
    <w:rsid w:val="00B63E39"/>
    <w:rsid w:val="00B67672"/>
    <w:rsid w:val="00B82BF4"/>
    <w:rsid w:val="00B8463E"/>
    <w:rsid w:val="00BA536E"/>
    <w:rsid w:val="00BC193A"/>
    <w:rsid w:val="00BC37C2"/>
    <w:rsid w:val="00BD026A"/>
    <w:rsid w:val="00BE4278"/>
    <w:rsid w:val="00BF3665"/>
    <w:rsid w:val="00C200AD"/>
    <w:rsid w:val="00C2334E"/>
    <w:rsid w:val="00C270E3"/>
    <w:rsid w:val="00C31280"/>
    <w:rsid w:val="00C31F46"/>
    <w:rsid w:val="00C4563E"/>
    <w:rsid w:val="00C470BE"/>
    <w:rsid w:val="00C57AAF"/>
    <w:rsid w:val="00C602C6"/>
    <w:rsid w:val="00C67154"/>
    <w:rsid w:val="00C74959"/>
    <w:rsid w:val="00C76A48"/>
    <w:rsid w:val="00C85378"/>
    <w:rsid w:val="00C9076F"/>
    <w:rsid w:val="00CB169D"/>
    <w:rsid w:val="00CC1249"/>
    <w:rsid w:val="00CD4153"/>
    <w:rsid w:val="00CE65BE"/>
    <w:rsid w:val="00CF1FF3"/>
    <w:rsid w:val="00CF5F48"/>
    <w:rsid w:val="00D06529"/>
    <w:rsid w:val="00D115EA"/>
    <w:rsid w:val="00D13C4D"/>
    <w:rsid w:val="00D23191"/>
    <w:rsid w:val="00D23346"/>
    <w:rsid w:val="00D3260A"/>
    <w:rsid w:val="00D5463F"/>
    <w:rsid w:val="00D55AA6"/>
    <w:rsid w:val="00D73CF7"/>
    <w:rsid w:val="00D90707"/>
    <w:rsid w:val="00D95012"/>
    <w:rsid w:val="00DD39FE"/>
    <w:rsid w:val="00DD5B52"/>
    <w:rsid w:val="00DE2ED7"/>
    <w:rsid w:val="00E00821"/>
    <w:rsid w:val="00E026ED"/>
    <w:rsid w:val="00E0329D"/>
    <w:rsid w:val="00E26B4E"/>
    <w:rsid w:val="00E41ADB"/>
    <w:rsid w:val="00E42092"/>
    <w:rsid w:val="00E44D22"/>
    <w:rsid w:val="00E528F3"/>
    <w:rsid w:val="00E622C9"/>
    <w:rsid w:val="00E629D3"/>
    <w:rsid w:val="00E63DC9"/>
    <w:rsid w:val="00E67ED8"/>
    <w:rsid w:val="00E701AC"/>
    <w:rsid w:val="00E818D3"/>
    <w:rsid w:val="00E948B2"/>
    <w:rsid w:val="00EA1E18"/>
    <w:rsid w:val="00EA3502"/>
    <w:rsid w:val="00EB7A35"/>
    <w:rsid w:val="00EE6A8D"/>
    <w:rsid w:val="00F148B0"/>
    <w:rsid w:val="00F15586"/>
    <w:rsid w:val="00F22062"/>
    <w:rsid w:val="00F31565"/>
    <w:rsid w:val="00F55F39"/>
    <w:rsid w:val="00F81421"/>
    <w:rsid w:val="00F83DB9"/>
    <w:rsid w:val="00F849AA"/>
    <w:rsid w:val="00F908DB"/>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DF48"/>
  <w15:docId w15:val="{E6A1C52C-0E7D-4FBD-B884-81E3C50E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kdy2024@gmail.com" TargetMode="External"/><Relationship Id="rId3" Type="http://schemas.openxmlformats.org/officeDocument/2006/relationships/styles" Target="styles.xml"/><Relationship Id="rId7" Type="http://schemas.openxmlformats.org/officeDocument/2006/relationships/hyperlink" Target="mailto:pegdy@minagri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gdy.geoponoi@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F4638-0AB1-4A1E-876D-B21D65B4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3275</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cp:lastModifiedBy>
  <cp:revision>3</cp:revision>
  <cp:lastPrinted>2022-11-28T09:18:00Z</cp:lastPrinted>
  <dcterms:created xsi:type="dcterms:W3CDTF">2026-04-22T09:03:00Z</dcterms:created>
  <dcterms:modified xsi:type="dcterms:W3CDTF">2026-04-22T10:30:00Z</dcterms:modified>
</cp:coreProperties>
</file>