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42138535" w14:textId="77777777" w:rsidTr="003A62E5">
        <w:trPr>
          <w:jc w:val="center"/>
        </w:trPr>
        <w:tc>
          <w:tcPr>
            <w:tcW w:w="9923" w:type="dxa"/>
          </w:tcPr>
          <w:p w14:paraId="0A3BEABA"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37A8A6A8"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5C0E40A3"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29D2A39A"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10DB247D" w14:textId="77777777" w:rsidR="00C9076F" w:rsidRPr="00490F12" w:rsidRDefault="00C9076F" w:rsidP="00835764">
            <w:pPr>
              <w:spacing w:after="100" w:line="240" w:lineRule="exact"/>
              <w:ind w:right="181"/>
              <w:jc w:val="center"/>
              <w:rPr>
                <w:rFonts w:ascii="Times New Roman" w:hAnsi="Times New Roman"/>
                <w:sz w:val="24"/>
                <w:szCs w:val="24"/>
              </w:rPr>
            </w:pPr>
            <w:proofErr w:type="gramStart"/>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roofErr w:type="gramEnd"/>
          </w:p>
        </w:tc>
      </w:tr>
    </w:tbl>
    <w:p w14:paraId="01EA2C22" w14:textId="77777777" w:rsidR="00D52286" w:rsidRPr="00B7070E" w:rsidRDefault="00D52286" w:rsidP="009A6FE0">
      <w:pPr>
        <w:spacing w:after="0" w:line="240" w:lineRule="auto"/>
        <w:ind w:right="340"/>
        <w:rPr>
          <w:rFonts w:ascii="Times New Roman" w:hAnsi="Times New Roman"/>
          <w:b/>
          <w:bCs/>
          <w:sz w:val="28"/>
          <w:szCs w:val="28"/>
        </w:rPr>
      </w:pPr>
    </w:p>
    <w:p w14:paraId="0FABBAB8" w14:textId="71BE807D" w:rsidR="00093D4D" w:rsidRPr="00820730" w:rsidRDefault="000D6359" w:rsidP="005341B0">
      <w:pPr>
        <w:spacing w:after="0" w:line="240" w:lineRule="auto"/>
        <w:ind w:left="7371" w:right="340"/>
        <w:rPr>
          <w:rFonts w:asciiTheme="minorHAnsi" w:hAnsiTheme="minorHAnsi" w:cstheme="minorHAnsi"/>
          <w:b/>
          <w:bCs/>
          <w:sz w:val="24"/>
          <w:szCs w:val="24"/>
        </w:rPr>
      </w:pPr>
      <w:r w:rsidRPr="00820730">
        <w:rPr>
          <w:rFonts w:asciiTheme="minorHAnsi" w:hAnsiTheme="minorHAnsi" w:cstheme="minorHAnsi"/>
          <w:b/>
          <w:bCs/>
          <w:sz w:val="24"/>
          <w:szCs w:val="24"/>
        </w:rPr>
        <w:t>Αθήνα</w:t>
      </w:r>
      <w:r w:rsidR="005341B0" w:rsidRPr="00820730">
        <w:rPr>
          <w:rFonts w:asciiTheme="minorHAnsi" w:hAnsiTheme="minorHAnsi" w:cstheme="minorHAnsi"/>
          <w:b/>
          <w:bCs/>
          <w:sz w:val="24"/>
          <w:szCs w:val="24"/>
        </w:rPr>
        <w:t>,</w:t>
      </w:r>
      <w:r w:rsidR="00E134EF" w:rsidRPr="00820730">
        <w:rPr>
          <w:rFonts w:asciiTheme="minorHAnsi" w:hAnsiTheme="minorHAnsi" w:cstheme="minorHAnsi"/>
          <w:b/>
          <w:bCs/>
          <w:sz w:val="24"/>
          <w:szCs w:val="24"/>
        </w:rPr>
        <w:t xml:space="preserve"> </w:t>
      </w:r>
      <w:r w:rsidR="002B46C5">
        <w:rPr>
          <w:rFonts w:asciiTheme="minorHAnsi" w:hAnsiTheme="minorHAnsi" w:cstheme="minorHAnsi"/>
          <w:b/>
          <w:bCs/>
          <w:sz w:val="24"/>
          <w:szCs w:val="24"/>
        </w:rPr>
        <w:t>01</w:t>
      </w:r>
      <w:r w:rsidR="009A4012" w:rsidRPr="00820730">
        <w:rPr>
          <w:rFonts w:asciiTheme="minorHAnsi" w:hAnsiTheme="minorHAnsi" w:cstheme="minorHAnsi"/>
          <w:b/>
          <w:bCs/>
          <w:sz w:val="24"/>
          <w:szCs w:val="24"/>
        </w:rPr>
        <w:t>-</w:t>
      </w:r>
      <w:r w:rsidR="00895600" w:rsidRPr="00820730">
        <w:rPr>
          <w:rFonts w:asciiTheme="minorHAnsi" w:hAnsiTheme="minorHAnsi" w:cstheme="minorHAnsi"/>
          <w:b/>
          <w:bCs/>
          <w:sz w:val="24"/>
          <w:szCs w:val="24"/>
        </w:rPr>
        <w:t>0</w:t>
      </w:r>
      <w:r w:rsidR="002B46C5">
        <w:rPr>
          <w:rFonts w:asciiTheme="minorHAnsi" w:hAnsiTheme="minorHAnsi" w:cstheme="minorHAnsi"/>
          <w:b/>
          <w:bCs/>
          <w:sz w:val="24"/>
          <w:szCs w:val="24"/>
        </w:rPr>
        <w:t>4</w:t>
      </w:r>
      <w:r w:rsidR="007759AC" w:rsidRPr="00820730">
        <w:rPr>
          <w:rFonts w:asciiTheme="minorHAnsi" w:hAnsiTheme="minorHAnsi" w:cstheme="minorHAnsi"/>
          <w:b/>
          <w:bCs/>
          <w:sz w:val="24"/>
          <w:szCs w:val="24"/>
        </w:rPr>
        <w:t>-20</w:t>
      </w:r>
      <w:r w:rsidR="009A4012" w:rsidRPr="00820730">
        <w:rPr>
          <w:rFonts w:asciiTheme="minorHAnsi" w:hAnsiTheme="minorHAnsi" w:cstheme="minorHAnsi"/>
          <w:b/>
          <w:bCs/>
          <w:sz w:val="24"/>
          <w:szCs w:val="24"/>
        </w:rPr>
        <w:t>26</w:t>
      </w:r>
    </w:p>
    <w:p w14:paraId="4A26D852" w14:textId="1E82A794" w:rsidR="009A4012" w:rsidRPr="00820730" w:rsidRDefault="00F704A6" w:rsidP="005341B0">
      <w:pPr>
        <w:spacing w:after="0" w:line="240" w:lineRule="auto"/>
        <w:ind w:left="7371" w:right="340"/>
        <w:rPr>
          <w:rFonts w:asciiTheme="minorHAnsi" w:hAnsiTheme="minorHAnsi" w:cstheme="minorHAnsi"/>
          <w:b/>
          <w:bCs/>
          <w:sz w:val="24"/>
          <w:szCs w:val="24"/>
        </w:rPr>
      </w:pPr>
      <w:r w:rsidRPr="00820730">
        <w:rPr>
          <w:rFonts w:asciiTheme="minorHAnsi" w:hAnsiTheme="minorHAnsi" w:cstheme="minorHAnsi"/>
          <w:b/>
          <w:bCs/>
          <w:sz w:val="24"/>
          <w:szCs w:val="24"/>
        </w:rPr>
        <w:t xml:space="preserve">Αρ. </w:t>
      </w:r>
      <w:proofErr w:type="spellStart"/>
      <w:r w:rsidRPr="00820730">
        <w:rPr>
          <w:rFonts w:asciiTheme="minorHAnsi" w:hAnsiTheme="minorHAnsi" w:cstheme="minorHAnsi"/>
          <w:b/>
          <w:bCs/>
          <w:sz w:val="24"/>
          <w:szCs w:val="24"/>
        </w:rPr>
        <w:t>πρωτ</w:t>
      </w:r>
      <w:proofErr w:type="spellEnd"/>
      <w:r w:rsidRPr="00820730">
        <w:rPr>
          <w:rFonts w:asciiTheme="minorHAnsi" w:hAnsiTheme="minorHAnsi" w:cstheme="minorHAnsi"/>
          <w:b/>
          <w:bCs/>
          <w:sz w:val="24"/>
          <w:szCs w:val="24"/>
        </w:rPr>
        <w:t>.</w:t>
      </w:r>
      <w:r w:rsidR="005341B0" w:rsidRPr="00820730">
        <w:rPr>
          <w:rFonts w:asciiTheme="minorHAnsi" w:hAnsiTheme="minorHAnsi" w:cstheme="minorHAnsi"/>
          <w:b/>
          <w:bCs/>
          <w:sz w:val="24"/>
          <w:szCs w:val="24"/>
        </w:rPr>
        <w:t xml:space="preserve">: </w:t>
      </w:r>
      <w:r w:rsidR="009D3546" w:rsidRPr="00820730">
        <w:rPr>
          <w:rFonts w:asciiTheme="minorHAnsi" w:hAnsiTheme="minorHAnsi" w:cstheme="minorHAnsi"/>
          <w:b/>
          <w:bCs/>
          <w:sz w:val="24"/>
          <w:szCs w:val="24"/>
        </w:rPr>
        <w:t>171</w:t>
      </w:r>
      <w:r w:rsidR="002B46C5">
        <w:rPr>
          <w:rFonts w:asciiTheme="minorHAnsi" w:hAnsiTheme="minorHAnsi" w:cstheme="minorHAnsi"/>
          <w:b/>
          <w:bCs/>
          <w:sz w:val="24"/>
          <w:szCs w:val="24"/>
        </w:rPr>
        <w:t>9</w:t>
      </w:r>
    </w:p>
    <w:p w14:paraId="28B66849" w14:textId="77777777" w:rsidR="00013229" w:rsidRDefault="00013229" w:rsidP="00013229">
      <w:pPr>
        <w:shd w:val="clear" w:color="auto" w:fill="FFFFFF"/>
        <w:spacing w:after="120" w:line="275" w:lineRule="atLeast"/>
        <w:rPr>
          <w:b/>
          <w:bCs/>
          <w:sz w:val="24"/>
          <w:szCs w:val="24"/>
        </w:rPr>
      </w:pPr>
    </w:p>
    <w:p w14:paraId="088CB3AE" w14:textId="77777777" w:rsidR="002B46C5" w:rsidRPr="002B46C5" w:rsidRDefault="002B46C5" w:rsidP="002B46C5">
      <w:pPr>
        <w:shd w:val="clear" w:color="auto" w:fill="FFFFFF"/>
        <w:spacing w:after="120" w:line="275" w:lineRule="atLeast"/>
        <w:ind w:left="142"/>
        <w:rPr>
          <w:b/>
          <w:bCs/>
          <w:sz w:val="24"/>
          <w:szCs w:val="24"/>
        </w:rPr>
      </w:pPr>
      <w:r w:rsidRPr="002B46C5">
        <w:rPr>
          <w:b/>
          <w:bCs/>
          <w:sz w:val="24"/>
          <w:szCs w:val="24"/>
        </w:rPr>
        <w:t>ΠΡΟΣ:</w:t>
      </w:r>
    </w:p>
    <w:p w14:paraId="18D5CAC4" w14:textId="77777777" w:rsidR="002B46C5" w:rsidRPr="002B46C5" w:rsidRDefault="002B46C5" w:rsidP="002B46C5">
      <w:pPr>
        <w:shd w:val="clear" w:color="auto" w:fill="FFFFFF"/>
        <w:spacing w:after="120" w:line="275" w:lineRule="atLeast"/>
        <w:ind w:left="142"/>
        <w:rPr>
          <w:sz w:val="24"/>
          <w:szCs w:val="24"/>
        </w:rPr>
      </w:pPr>
      <w:r w:rsidRPr="002B46C5">
        <w:rPr>
          <w:sz w:val="24"/>
          <w:szCs w:val="24"/>
        </w:rPr>
        <w:t xml:space="preserve">1.       Γενικό Γραμματέα Τηλεπικοινωνιών και Ταχυδρομείων Υπουργείου Ψηφιακής Διακυβέρνησης κ. Κ. </w:t>
      </w:r>
      <w:proofErr w:type="spellStart"/>
      <w:r w:rsidRPr="002B46C5">
        <w:rPr>
          <w:sz w:val="24"/>
          <w:szCs w:val="24"/>
        </w:rPr>
        <w:t>Καράντζαλο</w:t>
      </w:r>
      <w:proofErr w:type="spellEnd"/>
    </w:p>
    <w:p w14:paraId="5CD08FA7" w14:textId="77777777" w:rsidR="002B46C5" w:rsidRPr="002B46C5" w:rsidRDefault="002B46C5" w:rsidP="002B46C5">
      <w:pPr>
        <w:shd w:val="clear" w:color="auto" w:fill="FFFFFF"/>
        <w:spacing w:after="120" w:line="275" w:lineRule="atLeast"/>
        <w:ind w:left="142"/>
        <w:rPr>
          <w:sz w:val="24"/>
          <w:szCs w:val="24"/>
        </w:rPr>
      </w:pPr>
      <w:r w:rsidRPr="002B46C5">
        <w:rPr>
          <w:sz w:val="24"/>
          <w:szCs w:val="24"/>
        </w:rPr>
        <w:t xml:space="preserve">2.       Γενικό Γραμματέα Αγροτικής Πολιτικής και Διεθνών Σχέσεων </w:t>
      </w:r>
      <w:proofErr w:type="spellStart"/>
      <w:r w:rsidRPr="002B46C5">
        <w:rPr>
          <w:sz w:val="24"/>
          <w:szCs w:val="24"/>
        </w:rPr>
        <w:t>ΥπΑΑΤ</w:t>
      </w:r>
      <w:proofErr w:type="spellEnd"/>
      <w:r w:rsidRPr="002B46C5">
        <w:rPr>
          <w:sz w:val="24"/>
          <w:szCs w:val="24"/>
        </w:rPr>
        <w:t xml:space="preserve"> κ. Α. </w:t>
      </w:r>
      <w:proofErr w:type="spellStart"/>
      <w:r w:rsidRPr="002B46C5">
        <w:rPr>
          <w:sz w:val="24"/>
          <w:szCs w:val="24"/>
        </w:rPr>
        <w:t>Φιλιππή</w:t>
      </w:r>
      <w:proofErr w:type="spellEnd"/>
    </w:p>
    <w:p w14:paraId="4823DA53" w14:textId="77777777" w:rsidR="002B46C5" w:rsidRPr="002B46C5" w:rsidRDefault="002B46C5" w:rsidP="002B46C5">
      <w:pPr>
        <w:shd w:val="clear" w:color="auto" w:fill="FFFFFF"/>
        <w:spacing w:after="120" w:line="275" w:lineRule="atLeast"/>
        <w:ind w:left="142"/>
        <w:rPr>
          <w:sz w:val="24"/>
          <w:szCs w:val="24"/>
        </w:rPr>
      </w:pPr>
      <w:r w:rsidRPr="002B46C5">
        <w:rPr>
          <w:sz w:val="24"/>
          <w:szCs w:val="24"/>
        </w:rPr>
        <w:t xml:space="preserve">3.       Γενική Γραμματέα </w:t>
      </w:r>
      <w:proofErr w:type="spellStart"/>
      <w:r w:rsidRPr="002B46C5">
        <w:rPr>
          <w:sz w:val="24"/>
          <w:szCs w:val="24"/>
        </w:rPr>
        <w:t>Ενωσιακών</w:t>
      </w:r>
      <w:proofErr w:type="spellEnd"/>
      <w:r w:rsidRPr="002B46C5">
        <w:rPr>
          <w:sz w:val="24"/>
          <w:szCs w:val="24"/>
        </w:rPr>
        <w:t xml:space="preserve"> Πόρων και Υποδομών, κ. Α. Ζέρβα</w:t>
      </w:r>
    </w:p>
    <w:p w14:paraId="227B8822" w14:textId="77777777" w:rsidR="002B46C5" w:rsidRPr="002B46C5" w:rsidRDefault="002B46C5" w:rsidP="002B46C5">
      <w:pPr>
        <w:shd w:val="clear" w:color="auto" w:fill="FFFFFF"/>
        <w:spacing w:after="120" w:line="275" w:lineRule="atLeast"/>
        <w:ind w:left="142"/>
        <w:rPr>
          <w:b/>
          <w:bCs/>
          <w:sz w:val="24"/>
          <w:szCs w:val="24"/>
        </w:rPr>
      </w:pPr>
      <w:r w:rsidRPr="002B46C5">
        <w:rPr>
          <w:b/>
          <w:bCs/>
          <w:sz w:val="24"/>
          <w:szCs w:val="24"/>
        </w:rPr>
        <w:t>ΚΟΙΝ.:</w:t>
      </w:r>
    </w:p>
    <w:p w14:paraId="78223BFE" w14:textId="77777777" w:rsidR="002B46C5" w:rsidRPr="002B46C5" w:rsidRDefault="002B46C5" w:rsidP="002B46C5">
      <w:pPr>
        <w:shd w:val="clear" w:color="auto" w:fill="FFFFFF"/>
        <w:spacing w:after="120" w:line="275" w:lineRule="atLeast"/>
        <w:ind w:left="142"/>
        <w:rPr>
          <w:sz w:val="24"/>
          <w:szCs w:val="24"/>
        </w:rPr>
      </w:pPr>
      <w:r w:rsidRPr="002B46C5">
        <w:rPr>
          <w:sz w:val="24"/>
          <w:szCs w:val="24"/>
        </w:rPr>
        <w:t>1.       Γραφείο Πρωθυπουργού</w:t>
      </w:r>
    </w:p>
    <w:p w14:paraId="54646F97" w14:textId="77777777" w:rsidR="002B46C5" w:rsidRPr="002B46C5" w:rsidRDefault="002B46C5" w:rsidP="002B46C5">
      <w:pPr>
        <w:shd w:val="clear" w:color="auto" w:fill="FFFFFF"/>
        <w:spacing w:after="120" w:line="275" w:lineRule="atLeast"/>
        <w:ind w:left="142"/>
        <w:rPr>
          <w:sz w:val="24"/>
          <w:szCs w:val="24"/>
        </w:rPr>
      </w:pPr>
      <w:r w:rsidRPr="002B46C5">
        <w:rPr>
          <w:sz w:val="24"/>
          <w:szCs w:val="24"/>
        </w:rPr>
        <w:t>2.       Υπουργό Αγροτικής Ανάπτυξης &amp; Τροφίμων κ. Κ. Τσιάρα</w:t>
      </w:r>
    </w:p>
    <w:p w14:paraId="2C19D87C" w14:textId="77777777" w:rsidR="002B46C5" w:rsidRPr="002B46C5" w:rsidRDefault="002B46C5" w:rsidP="002B46C5">
      <w:pPr>
        <w:shd w:val="clear" w:color="auto" w:fill="FFFFFF"/>
        <w:spacing w:after="120" w:line="275" w:lineRule="atLeast"/>
        <w:ind w:left="142"/>
        <w:rPr>
          <w:sz w:val="24"/>
          <w:szCs w:val="24"/>
        </w:rPr>
      </w:pPr>
      <w:r w:rsidRPr="002B46C5">
        <w:rPr>
          <w:sz w:val="24"/>
          <w:szCs w:val="24"/>
        </w:rPr>
        <w:t xml:space="preserve">3.       Υπουργό Ψηφιακής Διακυβέρνησης κ. Δ. </w:t>
      </w:r>
      <w:proofErr w:type="spellStart"/>
      <w:r w:rsidRPr="002B46C5">
        <w:rPr>
          <w:sz w:val="24"/>
          <w:szCs w:val="24"/>
        </w:rPr>
        <w:t>Παπαστεργίου</w:t>
      </w:r>
      <w:proofErr w:type="spellEnd"/>
    </w:p>
    <w:p w14:paraId="3A0844C2" w14:textId="1EF7192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p>
    <w:p w14:paraId="069D0489" w14:textId="77777777" w:rsidR="00895600" w:rsidRPr="00820730" w:rsidRDefault="00895600" w:rsidP="004F3AFA">
      <w:pPr>
        <w:shd w:val="clear" w:color="auto" w:fill="FFFFFF"/>
        <w:spacing w:after="120" w:line="275" w:lineRule="atLeast"/>
        <w:rPr>
          <w:rFonts w:eastAsia="Times New Roman" w:cs="Calibri"/>
          <w:color w:val="222222"/>
          <w:sz w:val="24"/>
          <w:szCs w:val="24"/>
          <w:lang w:eastAsia="el-GR"/>
        </w:rPr>
      </w:pPr>
    </w:p>
    <w:p w14:paraId="11E11974" w14:textId="56074270" w:rsidR="00820730" w:rsidRPr="00820730" w:rsidRDefault="002B46C5" w:rsidP="00820730">
      <w:pPr>
        <w:spacing w:after="120" w:line="300" w:lineRule="auto"/>
        <w:jc w:val="both"/>
        <w:rPr>
          <w:sz w:val="24"/>
          <w:szCs w:val="24"/>
        </w:rPr>
      </w:pPr>
      <w:r w:rsidRPr="002B46C5">
        <w:rPr>
          <w:b/>
          <w:bCs/>
          <w:sz w:val="24"/>
          <w:szCs w:val="24"/>
        </w:rPr>
        <w:t xml:space="preserve">ΘΕΜΑ: Αίτημα παροχής διευκρινίσεων για το έργο </w:t>
      </w:r>
      <w:proofErr w:type="spellStart"/>
      <w:r w:rsidRPr="002B46C5">
        <w:rPr>
          <w:b/>
          <w:bCs/>
          <w:sz w:val="24"/>
          <w:szCs w:val="24"/>
        </w:rPr>
        <w:t>Gov</w:t>
      </w:r>
      <w:proofErr w:type="spellEnd"/>
      <w:r w:rsidRPr="002B46C5">
        <w:rPr>
          <w:b/>
          <w:bCs/>
          <w:sz w:val="24"/>
          <w:szCs w:val="24"/>
        </w:rPr>
        <w:t xml:space="preserve"> </w:t>
      </w:r>
      <w:proofErr w:type="spellStart"/>
      <w:r w:rsidRPr="002B46C5">
        <w:rPr>
          <w:b/>
          <w:bCs/>
          <w:sz w:val="24"/>
          <w:szCs w:val="24"/>
        </w:rPr>
        <w:t>Agri-Wallet</w:t>
      </w:r>
      <w:proofErr w:type="spellEnd"/>
      <w:r w:rsidRPr="002B46C5">
        <w:rPr>
          <w:b/>
          <w:bCs/>
          <w:sz w:val="24"/>
          <w:szCs w:val="24"/>
        </w:rPr>
        <w:t xml:space="preserve"> και το πλαίσιο ψηφιακής τεκμηρίωσης της αγροτικής δραστηριότητας</w:t>
      </w:r>
    </w:p>
    <w:p w14:paraId="24F6CFB9" w14:textId="03F7A04F" w:rsidR="00A250CE" w:rsidRPr="00A250CE" w:rsidRDefault="009D3546" w:rsidP="00A250CE">
      <w:pPr>
        <w:shd w:val="clear" w:color="auto" w:fill="FFFFFF"/>
        <w:spacing w:after="160" w:line="235" w:lineRule="atLeast"/>
        <w:jc w:val="both"/>
        <w:rPr>
          <w:rFonts w:eastAsia="Times New Roman" w:cs="Calibri"/>
          <w:color w:val="222222"/>
          <w:sz w:val="23"/>
          <w:szCs w:val="23"/>
          <w:lang w:eastAsia="el-GR"/>
        </w:rPr>
      </w:pPr>
      <w:r w:rsidRPr="00A250CE">
        <w:rPr>
          <w:rFonts w:cs="Calibri"/>
          <w:b/>
          <w:bCs/>
          <w:color w:val="222222"/>
          <w:sz w:val="23"/>
          <w:szCs w:val="23"/>
        </w:rPr>
        <w:t xml:space="preserve">   </w:t>
      </w:r>
      <w:r w:rsidR="00A250CE" w:rsidRPr="00A250CE">
        <w:rPr>
          <w:rFonts w:eastAsia="Times New Roman" w:cs="Calibri"/>
          <w:color w:val="222222"/>
          <w:sz w:val="23"/>
          <w:szCs w:val="23"/>
          <w:lang w:eastAsia="el-GR"/>
        </w:rPr>
        <w:t>Αξιότιμοι Γενικοί Γραμματείς,</w:t>
      </w:r>
    </w:p>
    <w:p w14:paraId="2B8BC0A7"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 xml:space="preserve">Με αφορμή τις πρόσφατες ανακοινώσεις και τα σχετικά δημοσιεύματα για την ανάπτυξη της εφαρμογής </w:t>
      </w:r>
      <w:proofErr w:type="spellStart"/>
      <w:r w:rsidRPr="00A250CE">
        <w:rPr>
          <w:rFonts w:eastAsia="Times New Roman" w:cs="Calibri"/>
          <w:color w:val="222222"/>
          <w:sz w:val="23"/>
          <w:szCs w:val="23"/>
          <w:lang w:eastAsia="el-GR"/>
        </w:rPr>
        <w:t>Gov</w:t>
      </w:r>
      <w:proofErr w:type="spellEnd"/>
      <w:r w:rsidRPr="00A250CE">
        <w:rPr>
          <w:rFonts w:eastAsia="Times New Roman" w:cs="Calibri"/>
          <w:color w:val="222222"/>
          <w:sz w:val="23"/>
          <w:szCs w:val="23"/>
          <w:lang w:eastAsia="el-GR"/>
        </w:rPr>
        <w:t xml:space="preserve"> </w:t>
      </w:r>
      <w:proofErr w:type="spellStart"/>
      <w:r w:rsidRPr="00A250CE">
        <w:rPr>
          <w:rFonts w:eastAsia="Times New Roman" w:cs="Calibri"/>
          <w:color w:val="222222"/>
          <w:sz w:val="23"/>
          <w:szCs w:val="23"/>
          <w:lang w:eastAsia="el-GR"/>
        </w:rPr>
        <w:t>Agri-Wallet</w:t>
      </w:r>
      <w:proofErr w:type="spellEnd"/>
      <w:r w:rsidRPr="00A250CE">
        <w:rPr>
          <w:rFonts w:eastAsia="Times New Roman" w:cs="Calibri"/>
          <w:color w:val="222222"/>
          <w:sz w:val="23"/>
          <w:szCs w:val="23"/>
          <w:lang w:eastAsia="el-GR"/>
        </w:rPr>
        <w:t xml:space="preserve">, στο πλαίσιο του λεγόμενου </w:t>
      </w:r>
      <w:proofErr w:type="spellStart"/>
      <w:r w:rsidRPr="00A250CE">
        <w:rPr>
          <w:rFonts w:eastAsia="Times New Roman" w:cs="Calibri"/>
          <w:color w:val="222222"/>
          <w:sz w:val="23"/>
          <w:szCs w:val="23"/>
          <w:lang w:eastAsia="el-GR"/>
        </w:rPr>
        <w:t>Action</w:t>
      </w:r>
      <w:proofErr w:type="spellEnd"/>
      <w:r w:rsidRPr="00A250CE">
        <w:rPr>
          <w:rFonts w:eastAsia="Times New Roman" w:cs="Calibri"/>
          <w:color w:val="222222"/>
          <w:sz w:val="23"/>
          <w:szCs w:val="23"/>
          <w:lang w:eastAsia="el-GR"/>
        </w:rPr>
        <w:t xml:space="preserve"> </w:t>
      </w:r>
      <w:proofErr w:type="spellStart"/>
      <w:r w:rsidRPr="00A250CE">
        <w:rPr>
          <w:rFonts w:eastAsia="Times New Roman" w:cs="Calibri"/>
          <w:color w:val="222222"/>
          <w:sz w:val="23"/>
          <w:szCs w:val="23"/>
          <w:lang w:eastAsia="el-GR"/>
        </w:rPr>
        <w:t>Plan</w:t>
      </w:r>
      <w:proofErr w:type="spellEnd"/>
      <w:r w:rsidRPr="00A250CE">
        <w:rPr>
          <w:rFonts w:eastAsia="Times New Roman" w:cs="Calibri"/>
          <w:color w:val="222222"/>
          <w:sz w:val="23"/>
          <w:szCs w:val="23"/>
          <w:lang w:eastAsia="el-GR"/>
        </w:rPr>
        <w:t xml:space="preserve"> 2 του πρώην ΟΠΕΚΕΠΕ, η ΠΟΓΕΔΥ θεωρεί επιτακτικά αναγκαίο να ζητήσει συγκεκριμένες και σαφείς διευκρινίσεις, καθώς η μέχρι σήμερα δημόσια παρουσίαση του έργου εμφανίζει ουσιώδεις ασάφειες, τεχνικές αντιφάσεις και σοβαρά θεσμικά ερωτήματα, τα οποία επηρεάζουν άμεσα τόσο τους παραγωγούς όσο και τις δημόσιες υπηρεσίες που θα κληθούν να εφαρμόσουν το νέο πλαίσιο.</w:t>
      </w:r>
    </w:p>
    <w:p w14:paraId="2B6A9558"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Ειδικότερα, </w:t>
      </w:r>
      <w:r w:rsidRPr="00A250CE">
        <w:rPr>
          <w:rFonts w:eastAsia="Times New Roman" w:cs="Calibri"/>
          <w:b/>
          <w:bCs/>
          <w:color w:val="222222"/>
          <w:sz w:val="23"/>
          <w:szCs w:val="23"/>
          <w:lang w:eastAsia="el-GR"/>
        </w:rPr>
        <w:t>δεν έχει αποσαφηνιστεί βάσει ποιας συγκεκριμένης διάταξης της Κοινής Αγροτικής Πολιτικής</w:t>
      </w:r>
      <w:r w:rsidRPr="00A250CE">
        <w:rPr>
          <w:rFonts w:eastAsia="Times New Roman" w:cs="Calibri"/>
          <w:color w:val="222222"/>
          <w:sz w:val="23"/>
          <w:szCs w:val="23"/>
          <w:lang w:eastAsia="el-GR"/>
        </w:rPr>
        <w:t> προβλέπεται η εισαγωγή τέτοιου είδους εφαρμογής, αν η χρήση της θα είναι πράγματι προαιρετική ή αν θα συνδέεται άμεσα ή έμμεσα με την πρόσβαση στις ενισχύσεις και τους ελέγχους, καθώς και ποιο θα είναι το ακριβές νομικό καθεστώς των παραγόμενων ψηφιακών τεκμηρίων και η αποδεικτική τους ισχύς.</w:t>
      </w:r>
    </w:p>
    <w:p w14:paraId="32F0202B"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 xml:space="preserve">Παράλληλα, επειδή γίνεται αναφορά σε </w:t>
      </w:r>
      <w:proofErr w:type="spellStart"/>
      <w:r w:rsidRPr="00A250CE">
        <w:rPr>
          <w:rFonts w:eastAsia="Times New Roman" w:cs="Calibri"/>
          <w:color w:val="222222"/>
          <w:sz w:val="23"/>
          <w:szCs w:val="23"/>
          <w:lang w:eastAsia="el-GR"/>
        </w:rPr>
        <w:t>γεωεντοπισμό</w:t>
      </w:r>
      <w:proofErr w:type="spellEnd"/>
      <w:r w:rsidRPr="00A250CE">
        <w:rPr>
          <w:rFonts w:eastAsia="Times New Roman" w:cs="Calibri"/>
          <w:color w:val="222222"/>
          <w:sz w:val="23"/>
          <w:szCs w:val="23"/>
          <w:lang w:eastAsia="el-GR"/>
        </w:rPr>
        <w:t xml:space="preserve">, </w:t>
      </w:r>
      <w:proofErr w:type="spellStart"/>
      <w:r w:rsidRPr="00A250CE">
        <w:rPr>
          <w:rFonts w:eastAsia="Times New Roman" w:cs="Calibri"/>
          <w:color w:val="222222"/>
          <w:sz w:val="23"/>
          <w:szCs w:val="23"/>
          <w:lang w:eastAsia="el-GR"/>
        </w:rPr>
        <w:t>χωροχρονική</w:t>
      </w:r>
      <w:proofErr w:type="spellEnd"/>
      <w:r w:rsidRPr="00A250CE">
        <w:rPr>
          <w:rFonts w:eastAsia="Times New Roman" w:cs="Calibri"/>
          <w:color w:val="222222"/>
          <w:sz w:val="23"/>
          <w:szCs w:val="23"/>
          <w:lang w:eastAsia="el-GR"/>
        </w:rPr>
        <w:t xml:space="preserve"> σήμανση και τεκμηρίωση φυσικής παρουσίας, ζητούμε να διευκρινιστεί με ποιον τρόπο θεωρείται ότι η παρουσία ενός προσώπου σε συγκεκριμένο σημείο ταυτίζεται με την πραγματική αγροτική δραστηριότητα, ιδίως όταν η εργασία μπορεί να εκτελείται από εργάτες γης, συνεργεία ή άλλα πρόσωπα για λογαριασμό του παραγωγού. Αντίστοιχα, πρέπει να αποσαφηνιστεί ποιος φορέας θα είναι αρμόδιος για την επεξεργασία, αξιολόγηση και αποδοχή των σχετικών δεδομένων.</w:t>
      </w:r>
    </w:p>
    <w:p w14:paraId="410EEB3C"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Επειδή από τα δημόσια στοιχεία προκύπτει ότι θα γίνεται χρήση δεδομένων θέσης και άλλων στοιχείων της συσκευής, </w:t>
      </w:r>
      <w:r w:rsidRPr="00A250CE">
        <w:rPr>
          <w:rFonts w:eastAsia="Times New Roman" w:cs="Calibri"/>
          <w:b/>
          <w:bCs/>
          <w:color w:val="222222"/>
          <w:sz w:val="23"/>
          <w:szCs w:val="23"/>
          <w:lang w:eastAsia="el-GR"/>
        </w:rPr>
        <w:t>τίθεται και σοβαρό ζήτημα προστασίας προσωπικών δεδομένων</w:t>
      </w:r>
      <w:r w:rsidRPr="00A250CE">
        <w:rPr>
          <w:rFonts w:eastAsia="Times New Roman" w:cs="Calibri"/>
          <w:color w:val="222222"/>
          <w:sz w:val="23"/>
          <w:szCs w:val="23"/>
          <w:lang w:eastAsia="el-GR"/>
        </w:rPr>
        <w:t xml:space="preserve">. Για τον λόγο αυτό ζητούμε να γνωστοποιηθεί η ειδική νομική βάση επεξεργασίας, ο τρόπος συμμόρφωσης με τον GDPR, αν έχει εκπονηθεί Εκτίμηση Αντικτύπου και ποια είναι τα βασικά συμπεράσματά της, καθώς και ποια μέτρα </w:t>
      </w:r>
      <w:r w:rsidRPr="00A250CE">
        <w:rPr>
          <w:rFonts w:eastAsia="Times New Roman" w:cs="Calibri"/>
          <w:color w:val="222222"/>
          <w:sz w:val="23"/>
          <w:szCs w:val="23"/>
          <w:lang w:eastAsia="el-GR"/>
        </w:rPr>
        <w:lastRenderedPageBreak/>
        <w:t>λαμβάνονται ώστε να μην εγκαθιδρυθεί ένα δυσανάλογο καθεστώς ψηφιακής επιτήρησης μιας ολόκληρης επαγγελματικής ομάδας.</w:t>
      </w:r>
    </w:p>
    <w:p w14:paraId="74633FED"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Εξίσου κρίσιμο είναι να διευκρινιστεί </w:t>
      </w:r>
      <w:r w:rsidRPr="00A250CE">
        <w:rPr>
          <w:rFonts w:eastAsia="Times New Roman" w:cs="Calibri"/>
          <w:b/>
          <w:bCs/>
          <w:color w:val="222222"/>
          <w:sz w:val="23"/>
          <w:szCs w:val="23"/>
          <w:lang w:eastAsia="el-GR"/>
        </w:rPr>
        <w:t>ποια ακριβώς διοικητικά προβλήματα επιλύει το έργο</w:t>
      </w:r>
      <w:r w:rsidRPr="00A250CE">
        <w:rPr>
          <w:rFonts w:eastAsia="Times New Roman" w:cs="Calibri"/>
          <w:color w:val="222222"/>
          <w:sz w:val="23"/>
          <w:szCs w:val="23"/>
          <w:lang w:eastAsia="el-GR"/>
        </w:rPr>
        <w:t xml:space="preserve">, σε ένα περιβάλλον όπου παραμένουν γνωστές οι αδυναμίες </w:t>
      </w:r>
      <w:proofErr w:type="spellStart"/>
      <w:r w:rsidRPr="00A250CE">
        <w:rPr>
          <w:rFonts w:eastAsia="Times New Roman" w:cs="Calibri"/>
          <w:color w:val="222222"/>
          <w:sz w:val="23"/>
          <w:szCs w:val="23"/>
          <w:lang w:eastAsia="el-GR"/>
        </w:rPr>
        <w:t>υποστελέχωσης</w:t>
      </w:r>
      <w:proofErr w:type="spellEnd"/>
      <w:r w:rsidRPr="00A250CE">
        <w:rPr>
          <w:rFonts w:eastAsia="Times New Roman" w:cs="Calibri"/>
          <w:color w:val="222222"/>
          <w:sz w:val="23"/>
          <w:szCs w:val="23"/>
          <w:lang w:eastAsia="el-GR"/>
        </w:rPr>
        <w:t>, πολυδιάσπασης αρμοδιοτήτων και ελεγκτικής ανεπάρκειας. Δημιουργείται εύλογα η εντύπωση ότι, αντί να ενισχύονται οι δημόσιοι γεωτεχνικοί ελεγκτικοί μηχανισμοί, μεταφέρεται πρόσθετο βάρος τεκμηρίωσης στον ίδιο τον παραγωγό, με κίνδυνο η υποτιθέμενη απλούστευση να καταλήξει σε νέα μορφή ψηφιακής γραφειοκρατίας.</w:t>
      </w:r>
    </w:p>
    <w:p w14:paraId="1E984CDA"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 xml:space="preserve">Επιπλέον, επειδή γίνεται επίκληση αντίστοιχων πρακτικών σε άλλα κράτη-μέλη της Ευρωπαϊκής Ένωσης, παρακαλούμε να γνωστοποιηθούν συγκεκριμένα οι χώρες στις οποίες εφαρμόζονται τέτοια συστήματα, οι επίσημες ονομασίες τους, το κανονιστικό τους υπόβαθρο, αν είναι υποχρεωτικά ή προαιρετικά και σε ποιο βαθμό ταυτίζονται με το υπό σχεδιασμό </w:t>
      </w:r>
      <w:proofErr w:type="spellStart"/>
      <w:r w:rsidRPr="00A250CE">
        <w:rPr>
          <w:rFonts w:eastAsia="Times New Roman" w:cs="Calibri"/>
          <w:color w:val="222222"/>
          <w:sz w:val="23"/>
          <w:szCs w:val="23"/>
          <w:lang w:eastAsia="el-GR"/>
        </w:rPr>
        <w:t>Gov</w:t>
      </w:r>
      <w:proofErr w:type="spellEnd"/>
      <w:r w:rsidRPr="00A250CE">
        <w:rPr>
          <w:rFonts w:eastAsia="Times New Roman" w:cs="Calibri"/>
          <w:color w:val="222222"/>
          <w:sz w:val="23"/>
          <w:szCs w:val="23"/>
          <w:lang w:eastAsia="el-GR"/>
        </w:rPr>
        <w:t xml:space="preserve"> </w:t>
      </w:r>
      <w:proofErr w:type="spellStart"/>
      <w:r w:rsidRPr="00A250CE">
        <w:rPr>
          <w:rFonts w:eastAsia="Times New Roman" w:cs="Calibri"/>
          <w:color w:val="222222"/>
          <w:sz w:val="23"/>
          <w:szCs w:val="23"/>
          <w:lang w:eastAsia="el-GR"/>
        </w:rPr>
        <w:t>Agri-Wallet</w:t>
      </w:r>
      <w:proofErr w:type="spellEnd"/>
      <w:r w:rsidRPr="00A250CE">
        <w:rPr>
          <w:rFonts w:eastAsia="Times New Roman" w:cs="Calibri"/>
          <w:color w:val="222222"/>
          <w:sz w:val="23"/>
          <w:szCs w:val="23"/>
          <w:lang w:eastAsia="el-GR"/>
        </w:rPr>
        <w:t>. Η επίκληση μιας αόριστης «ευρωπαϊκής πρακτικής» χωρίς συγκεκριμένα συγκριτικά στοιχεία δεν επαρκεί για να τεκμηριώσει ούτε τη σκοπιμότητα ούτε τη νομιμότητα ενός τόσο κρίσιμου έργου.</w:t>
      </w:r>
    </w:p>
    <w:p w14:paraId="53C91472"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 xml:space="preserve">Παράλληλα, κρίνουμε απολύτως αναγκαίο να δοθούν σαφείς απαντήσεις ως προς τη διαδικασία σχεδιασμού του έργου. Συγκεκριμένα, ζητούμε να γνωστοποιηθεί ποιοι φορείς και ποιες υπηρεσίες συμμετείχαν στην επεξεργασία και εισηγήθηκαν την ανάπτυξη του </w:t>
      </w:r>
      <w:proofErr w:type="spellStart"/>
      <w:r w:rsidRPr="00A250CE">
        <w:rPr>
          <w:rFonts w:eastAsia="Times New Roman" w:cs="Calibri"/>
          <w:color w:val="222222"/>
          <w:sz w:val="23"/>
          <w:szCs w:val="23"/>
          <w:lang w:eastAsia="el-GR"/>
        </w:rPr>
        <w:t>Gov</w:t>
      </w:r>
      <w:proofErr w:type="spellEnd"/>
      <w:r w:rsidRPr="00A250CE">
        <w:rPr>
          <w:rFonts w:eastAsia="Times New Roman" w:cs="Calibri"/>
          <w:color w:val="222222"/>
          <w:sz w:val="23"/>
          <w:szCs w:val="23"/>
          <w:lang w:eastAsia="el-GR"/>
        </w:rPr>
        <w:t xml:space="preserve"> </w:t>
      </w:r>
      <w:proofErr w:type="spellStart"/>
      <w:r w:rsidRPr="00A250CE">
        <w:rPr>
          <w:rFonts w:eastAsia="Times New Roman" w:cs="Calibri"/>
          <w:color w:val="222222"/>
          <w:sz w:val="23"/>
          <w:szCs w:val="23"/>
          <w:lang w:eastAsia="el-GR"/>
        </w:rPr>
        <w:t>Agri-Wallet</w:t>
      </w:r>
      <w:proofErr w:type="spellEnd"/>
      <w:r w:rsidRPr="00A250CE">
        <w:rPr>
          <w:rFonts w:eastAsia="Times New Roman" w:cs="Calibri"/>
          <w:color w:val="222222"/>
          <w:sz w:val="23"/>
          <w:szCs w:val="23"/>
          <w:lang w:eastAsia="el-GR"/>
        </w:rPr>
        <w:t>, εάν υπήρξε οποιαδήποτε ουσιαστική διαβούλευση με τους άμεσα ενδιαφερόμενους, όπως οι παραγωγοί, οι γεωτεχνικές υπηρεσίες, οι ελεγκτικοί μηχανισμοί και οι επιστημονικοί φορείς, και αν προβλέπεται πιλοτική εφαρμογή πριν από οποιαδήποτε γενικευμένη υλοποίηση. Η επιτυχία ενός τόσο σύνθετου εγχειρήματος δεν μπορεί να στηριχθεί σε μονομερή τεχνικό σχεδιασμό, χωρίς ενεργό συμμετοχή όσων γνωρίζουν την πραγματικότητα της διοίκησης και της πρωτογενούς παραγωγής.</w:t>
      </w:r>
    </w:p>
    <w:p w14:paraId="64223DAB"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Τέλος, θεωρούμε ότι για λόγους πλήρους διαφάνειας πρέπει να δοθούν σαφείς απαντήσεις και ως προς το οικονομικό και διαχειριστικό σκέλος του εγχειρήματος. Ειδικότερα, ζητούμε να γνωστοποιηθεί το συνολικό ύψος της προβλεπόμενης δαπάνης για την ανάπτυξη, υλοποίηση και λειτουργία του έργου, η πηγή χρηματοδότησής του, η διαδικασία ανάθεσης που θα ακολουθηθεί ή έχει ήδη δρομολογηθεί, τα βασικά χαρακτηριστικά της σχετικής διαδικασίας, καθώς και αν έχουν ήδη επιλεγεί, προκριθεί ή προεπιλεγεί συγκεκριμένοι ανάδοχοι ή σχήματα και με βάση ποια κριτήρια. Σε ένα έργο που παρουσιάζεται ως κρίσιμο για τη νέα αρχιτεκτονική ελέγχων και ενισχύσεων, η πλήρης διαφάνεια ως προς το κόστος, τη σκοπιμότητα και τους όρους ανάθεσης δεν αποτελεί τυπική υποχρέωση, αλλά ουσιώδη προϋπόθεση θεσμικής νομιμοποίησης.</w:t>
      </w:r>
    </w:p>
    <w:p w14:paraId="10A4A450"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Η ΠΟΓΕΔΥ θεωρεί ότι η αξιοποίηση των ψηφιακών εργαλείων στον αγροτικό τομέα μπορεί να συμβάλει θετικά μόνο εφόσον στηρίζεται σε σαφή θεσμική βάση, τεχνική επάρκεια, αναλογικότητα, διοικητική ετοιμότητα και πραγματική εμπιστοσύνη των ενδιαφερομένων. Αντιθέτως, η εισαγωγή ενός πλαισίου το οποίο εμφανίζεται ασαφές ως προς τις υποχρεώσεις, επαχθές ως προς την τεκμηρίωση, αβέβαιο ως προς τη νομική του λειτουργία και αδιαφανές ως προς το κόστος και τον σχεδιασμό του, κινδυνεύει να προκαλέσει εύλογη δυσπιστία, διοικητική ένταση και σοβαρές κοινωνικές και πολιτικές αντιδράσεις.</w:t>
      </w:r>
    </w:p>
    <w:p w14:paraId="174046B7" w14:textId="77777777" w:rsidR="00A250CE" w:rsidRPr="00A250CE" w:rsidRDefault="00A250CE" w:rsidP="00A250CE">
      <w:pPr>
        <w:shd w:val="clear" w:color="auto" w:fill="FFFFFF"/>
        <w:spacing w:after="160" w:line="235" w:lineRule="atLeast"/>
        <w:jc w:val="both"/>
        <w:rPr>
          <w:rFonts w:eastAsia="Times New Roman" w:cs="Calibri"/>
          <w:color w:val="222222"/>
          <w:sz w:val="23"/>
          <w:szCs w:val="23"/>
          <w:lang w:eastAsia="el-GR"/>
        </w:rPr>
      </w:pPr>
      <w:r w:rsidRPr="00A250CE">
        <w:rPr>
          <w:rFonts w:eastAsia="Times New Roman" w:cs="Calibri"/>
          <w:color w:val="222222"/>
          <w:sz w:val="23"/>
          <w:szCs w:val="23"/>
          <w:lang w:eastAsia="el-GR"/>
        </w:rPr>
        <w:t>Για τους λόγους αυτούς, παρακαλούμε για την άμεση και πλήρη παροχή συγκεκριμένων απαντήσεων επί των ανωτέρω ζητημάτων.</w:t>
      </w:r>
    </w:p>
    <w:p w14:paraId="54D7CFFD" w14:textId="0576BEFA" w:rsidR="00B7070E" w:rsidRPr="00A250CE" w:rsidRDefault="009D3546" w:rsidP="009D3546">
      <w:pPr>
        <w:pStyle w:val="Web"/>
        <w:shd w:val="clear" w:color="auto" w:fill="FFFFFF"/>
        <w:spacing w:before="0" w:beforeAutospacing="0" w:after="0" w:afterAutospacing="0" w:line="288" w:lineRule="auto"/>
        <w:ind w:firstLine="284"/>
        <w:jc w:val="both"/>
        <w:rPr>
          <w:rFonts w:ascii="Calibri" w:eastAsia="Calibri" w:hAnsi="Calibri"/>
          <w:sz w:val="23"/>
          <w:szCs w:val="23"/>
          <w:lang w:eastAsia="en-US"/>
        </w:rPr>
      </w:pPr>
      <w:r w:rsidRPr="00A250CE">
        <w:rPr>
          <w:rFonts w:ascii="Calibri" w:eastAsia="Calibri" w:hAnsi="Calibri"/>
          <w:sz w:val="23"/>
          <w:szCs w:val="23"/>
          <w:lang w:eastAsia="en-US"/>
        </w:rPr>
        <w:t xml:space="preserve">                                                           </w:t>
      </w:r>
      <w:r w:rsidR="00A250CE">
        <w:rPr>
          <w:rFonts w:ascii="Calibri" w:eastAsia="Calibri" w:hAnsi="Calibri"/>
          <w:sz w:val="23"/>
          <w:szCs w:val="23"/>
          <w:lang w:eastAsia="en-US"/>
        </w:rPr>
        <w:t xml:space="preserve">                    </w:t>
      </w:r>
      <w:r w:rsidRPr="00A250CE">
        <w:rPr>
          <w:rFonts w:ascii="Calibri" w:eastAsia="Calibri" w:hAnsi="Calibri"/>
          <w:sz w:val="23"/>
          <w:szCs w:val="23"/>
          <w:lang w:eastAsia="en-US"/>
        </w:rPr>
        <w:t xml:space="preserve">     </w:t>
      </w:r>
      <w:r w:rsidR="00B7070E" w:rsidRPr="00A250CE">
        <w:rPr>
          <w:rFonts w:ascii="Calibri" w:eastAsia="Calibri" w:hAnsi="Calibri"/>
          <w:sz w:val="23"/>
          <w:szCs w:val="23"/>
          <w:lang w:eastAsia="en-US"/>
        </w:rPr>
        <w:t>Με εκτίμηση</w:t>
      </w:r>
    </w:p>
    <w:p w14:paraId="765304AF" w14:textId="77777777" w:rsidR="003111D6" w:rsidRPr="00A250CE" w:rsidRDefault="009A4012" w:rsidP="00F60A3D">
      <w:pPr>
        <w:shd w:val="clear" w:color="auto" w:fill="FFFFFF"/>
        <w:spacing w:after="120" w:line="275" w:lineRule="atLeast"/>
        <w:ind w:firstLine="426"/>
        <w:jc w:val="center"/>
        <w:rPr>
          <w:sz w:val="23"/>
          <w:szCs w:val="23"/>
        </w:rPr>
      </w:pPr>
      <w:r w:rsidRPr="00A250CE">
        <w:rPr>
          <w:sz w:val="23"/>
          <w:szCs w:val="23"/>
        </w:rPr>
        <w:t>Για το Διοικητικό Συμβούλιο της ΠΟΓΕΔΥ</w:t>
      </w:r>
    </w:p>
    <w:p w14:paraId="69E79D5D" w14:textId="77777777" w:rsidR="00D30EEA" w:rsidRPr="0060132D" w:rsidRDefault="00D30EEA" w:rsidP="00895600">
      <w:pPr>
        <w:spacing w:after="160" w:line="252" w:lineRule="auto"/>
        <w:rPr>
          <w:rFonts w:ascii="Times New Roman" w:hAnsi="Times New Roman"/>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013"/>
        <w:gridCol w:w="3934"/>
      </w:tblGrid>
      <w:tr w:rsidR="00895600" w14:paraId="6E150C19" w14:textId="77777777" w:rsidTr="004D6829">
        <w:trPr>
          <w:trHeight w:val="2288"/>
        </w:trPr>
        <w:tc>
          <w:tcPr>
            <w:tcW w:w="3474" w:type="dxa"/>
          </w:tcPr>
          <w:p w14:paraId="758CF949" w14:textId="77777777" w:rsidR="004D6829" w:rsidRPr="00A250CE" w:rsidRDefault="00895600" w:rsidP="004D6829">
            <w:pPr>
              <w:spacing w:after="160" w:line="164" w:lineRule="atLeast"/>
              <w:jc w:val="center"/>
              <w:rPr>
                <w:rFonts w:ascii="Tahoma" w:eastAsia="Times New Roman" w:hAnsi="Tahoma" w:cs="Tahoma"/>
                <w:b/>
                <w:bCs/>
                <w:bdr w:val="none" w:sz="0" w:space="0" w:color="auto" w:frame="1"/>
                <w:lang w:eastAsia="el-GR"/>
              </w:rPr>
            </w:pPr>
            <w:r w:rsidRPr="00A250CE">
              <w:rPr>
                <w:rFonts w:ascii="Tahoma" w:eastAsia="Times New Roman" w:hAnsi="Tahoma" w:cs="Tahoma"/>
                <w:b/>
                <w:bCs/>
                <w:bdr w:val="none" w:sz="0" w:space="0" w:color="auto" w:frame="1"/>
                <w:lang w:eastAsia="el-GR"/>
              </w:rPr>
              <w:t>Ο ΠΡΟΕΔΡΟΣ</w:t>
            </w:r>
          </w:p>
          <w:p w14:paraId="3C445311" w14:textId="77777777" w:rsidR="004D6829" w:rsidRPr="00A250CE" w:rsidRDefault="004D6829" w:rsidP="004D6829">
            <w:pPr>
              <w:spacing w:after="160" w:line="164" w:lineRule="atLeast"/>
              <w:jc w:val="center"/>
              <w:rPr>
                <w:rFonts w:ascii="Tahoma" w:eastAsia="Times New Roman" w:hAnsi="Tahoma" w:cs="Tahoma"/>
                <w:b/>
                <w:bCs/>
                <w:bdr w:val="none" w:sz="0" w:space="0" w:color="auto" w:frame="1"/>
                <w:lang w:eastAsia="el-GR"/>
              </w:rPr>
            </w:pPr>
          </w:p>
          <w:p w14:paraId="24337C3C" w14:textId="77777777" w:rsidR="004D6829" w:rsidRPr="00A250CE" w:rsidRDefault="004D6829" w:rsidP="004D6829">
            <w:pPr>
              <w:spacing w:after="160" w:line="164" w:lineRule="atLeast"/>
              <w:jc w:val="center"/>
              <w:rPr>
                <w:rFonts w:ascii="Tahoma" w:eastAsia="Times New Roman" w:hAnsi="Tahoma" w:cs="Tahoma"/>
                <w:b/>
                <w:bCs/>
                <w:bdr w:val="none" w:sz="0" w:space="0" w:color="auto" w:frame="1"/>
                <w:lang w:eastAsia="el-GR"/>
              </w:rPr>
            </w:pPr>
          </w:p>
          <w:p w14:paraId="1DC99182" w14:textId="77777777" w:rsidR="00895600" w:rsidRPr="00A250CE" w:rsidRDefault="004D6829" w:rsidP="004D6829">
            <w:pPr>
              <w:spacing w:after="160" w:line="164" w:lineRule="atLeast"/>
              <w:jc w:val="center"/>
              <w:rPr>
                <w:rFonts w:ascii="Times New Roman" w:eastAsia="Times New Roman" w:hAnsi="Times New Roman"/>
                <w:color w:val="222222"/>
                <w:lang w:eastAsia="el-GR"/>
              </w:rPr>
            </w:pPr>
            <w:r w:rsidRPr="00A250CE">
              <w:rPr>
                <w:rFonts w:ascii="Tahoma" w:eastAsia="Times New Roman" w:hAnsi="Tahoma" w:cs="Tahoma"/>
                <w:b/>
                <w:bCs/>
                <w:bdr w:val="none" w:sz="0" w:space="0" w:color="auto" w:frame="1"/>
                <w:lang w:eastAsia="el-GR"/>
              </w:rPr>
              <w:t>ΝΙΚΟΛΑΟΣ  ΚΑΚΑΒΑΣ</w:t>
            </w:r>
          </w:p>
        </w:tc>
        <w:tc>
          <w:tcPr>
            <w:tcW w:w="3013" w:type="dxa"/>
          </w:tcPr>
          <w:p w14:paraId="58DFEF42" w14:textId="77777777" w:rsidR="00895600" w:rsidRPr="00A250CE" w:rsidRDefault="00895600" w:rsidP="004227E0">
            <w:pPr>
              <w:spacing w:after="160" w:line="164" w:lineRule="atLeast"/>
              <w:jc w:val="both"/>
              <w:rPr>
                <w:rFonts w:ascii="Times New Roman" w:eastAsia="Times New Roman" w:hAnsi="Times New Roman"/>
                <w:color w:val="222222"/>
                <w:lang w:eastAsia="el-GR"/>
              </w:rPr>
            </w:pPr>
            <w:r w:rsidRPr="00A250CE">
              <w:rPr>
                <w:rFonts w:ascii="Times New Roman" w:eastAsia="Times New Roman" w:hAnsi="Times New Roman"/>
                <w:noProof/>
                <w:color w:val="222222"/>
                <w:lang w:eastAsia="el-GR"/>
              </w:rPr>
              <w:drawing>
                <wp:anchor distT="0" distB="0" distL="114300" distR="114300" simplePos="0" relativeHeight="251659264" behindDoc="0" locked="0" layoutInCell="1" allowOverlap="1" wp14:anchorId="58B2F3A6" wp14:editId="010AA215">
                  <wp:simplePos x="0" y="0"/>
                  <wp:positionH relativeFrom="margin">
                    <wp:posOffset>572135</wp:posOffset>
                  </wp:positionH>
                  <wp:positionV relativeFrom="margin">
                    <wp:posOffset>-8380095</wp:posOffset>
                  </wp:positionV>
                  <wp:extent cx="1162050" cy="1043940"/>
                  <wp:effectExtent l="0" t="0" r="0" b="0"/>
                  <wp:wrapSquare wrapText="bothSides"/>
                  <wp:docPr id="1" name="Εικόνα 2"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35" w:type="dxa"/>
          </w:tcPr>
          <w:p w14:paraId="21EA9850" w14:textId="77777777" w:rsidR="00895600" w:rsidRPr="00A250CE" w:rsidRDefault="00895600" w:rsidP="004D6829">
            <w:pPr>
              <w:spacing w:after="0" w:line="360" w:lineRule="atLeast"/>
              <w:jc w:val="center"/>
              <w:textAlignment w:val="baseline"/>
              <w:rPr>
                <w:rFonts w:ascii="Tahoma" w:eastAsia="Times New Roman" w:hAnsi="Tahoma" w:cs="Tahoma"/>
                <w:b/>
                <w:bCs/>
                <w:bdr w:val="none" w:sz="0" w:space="0" w:color="auto" w:frame="1"/>
                <w:lang w:eastAsia="el-GR"/>
              </w:rPr>
            </w:pPr>
            <w:r w:rsidRPr="00A250CE">
              <w:rPr>
                <w:rFonts w:ascii="Tahoma" w:eastAsia="Times New Roman" w:hAnsi="Tahoma" w:cs="Tahoma"/>
                <w:b/>
                <w:bCs/>
                <w:bdr w:val="none" w:sz="0" w:space="0" w:color="auto" w:frame="1"/>
                <w:lang w:eastAsia="el-GR"/>
              </w:rPr>
              <w:t>Ο ΓΕΝΙΚΟΣ ΓΡΑΜΜΑΤΕΑΣ</w:t>
            </w:r>
          </w:p>
          <w:p w14:paraId="3FE1E6AA" w14:textId="77777777" w:rsidR="00895600" w:rsidRPr="00A250CE" w:rsidRDefault="00895600" w:rsidP="004D6829">
            <w:pPr>
              <w:spacing w:after="160" w:line="164" w:lineRule="atLeast"/>
              <w:jc w:val="center"/>
              <w:rPr>
                <w:rFonts w:ascii="Times New Roman" w:eastAsia="Times New Roman" w:hAnsi="Times New Roman"/>
                <w:color w:val="222222"/>
                <w:lang w:eastAsia="el-GR"/>
              </w:rPr>
            </w:pPr>
          </w:p>
          <w:p w14:paraId="585AEB09" w14:textId="77777777" w:rsidR="004D6829" w:rsidRPr="00A250CE" w:rsidRDefault="004D6829" w:rsidP="004D6829">
            <w:pPr>
              <w:spacing w:after="160" w:line="164" w:lineRule="atLeast"/>
              <w:jc w:val="center"/>
              <w:rPr>
                <w:rFonts w:ascii="Times New Roman" w:eastAsia="Times New Roman" w:hAnsi="Times New Roman"/>
                <w:color w:val="222222"/>
                <w:lang w:eastAsia="el-GR"/>
              </w:rPr>
            </w:pPr>
          </w:p>
          <w:p w14:paraId="628CC139" w14:textId="77777777" w:rsidR="004D6829" w:rsidRPr="00A250CE" w:rsidRDefault="004D6829" w:rsidP="004D6829">
            <w:pPr>
              <w:spacing w:after="0" w:line="360" w:lineRule="atLeast"/>
              <w:jc w:val="center"/>
              <w:textAlignment w:val="baseline"/>
              <w:rPr>
                <w:rFonts w:ascii="Tahoma" w:eastAsia="Times New Roman" w:hAnsi="Tahoma" w:cs="Tahoma"/>
                <w:b/>
                <w:bCs/>
                <w:bdr w:val="none" w:sz="0" w:space="0" w:color="auto" w:frame="1"/>
                <w:lang w:eastAsia="el-GR"/>
              </w:rPr>
            </w:pPr>
            <w:r w:rsidRPr="00A250CE">
              <w:rPr>
                <w:rFonts w:ascii="Tahoma" w:eastAsia="Times New Roman" w:hAnsi="Tahoma" w:cs="Tahoma"/>
                <w:b/>
                <w:bCs/>
                <w:bdr w:val="none" w:sz="0" w:space="0" w:color="auto" w:frame="1"/>
                <w:lang w:eastAsia="el-GR"/>
              </w:rPr>
              <w:t>ΣΠΥΡΙΔΩΝ ΚΑΤΣΙΠΟΔΑΣ</w:t>
            </w:r>
          </w:p>
          <w:p w14:paraId="4CDDA523" w14:textId="77777777" w:rsidR="004D6829" w:rsidRPr="00A250CE" w:rsidRDefault="004D6829" w:rsidP="004227E0">
            <w:pPr>
              <w:spacing w:after="160" w:line="164" w:lineRule="atLeast"/>
              <w:jc w:val="both"/>
              <w:rPr>
                <w:rFonts w:ascii="Times New Roman" w:eastAsia="Times New Roman" w:hAnsi="Times New Roman"/>
                <w:color w:val="222222"/>
                <w:lang w:eastAsia="el-GR"/>
              </w:rPr>
            </w:pPr>
          </w:p>
        </w:tc>
      </w:tr>
    </w:tbl>
    <w:p w14:paraId="387E19DD" w14:textId="77777777" w:rsidR="00842E46" w:rsidRPr="00A250CE" w:rsidRDefault="00842E46" w:rsidP="00A250CE">
      <w:pPr>
        <w:shd w:val="clear" w:color="auto" w:fill="FFFFFF"/>
        <w:spacing w:after="160" w:line="164" w:lineRule="atLeast"/>
        <w:jc w:val="both"/>
        <w:rPr>
          <w:rFonts w:eastAsia="Times New Roman" w:cs="Calibri"/>
          <w:color w:val="222222"/>
          <w:sz w:val="28"/>
          <w:szCs w:val="28"/>
          <w:lang w:eastAsia="el-GR"/>
        </w:rPr>
      </w:pPr>
    </w:p>
    <w:sectPr w:rsidR="00842E46" w:rsidRPr="00A250CE" w:rsidSect="0082073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F17A75"/>
    <w:multiLevelType w:val="multilevel"/>
    <w:tmpl w:val="50A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503A6"/>
    <w:multiLevelType w:val="multilevel"/>
    <w:tmpl w:val="558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118DC"/>
    <w:multiLevelType w:val="multilevel"/>
    <w:tmpl w:val="BED0B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1"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A857CE"/>
    <w:multiLevelType w:val="multilevel"/>
    <w:tmpl w:val="AAE8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38F0DF3"/>
    <w:multiLevelType w:val="multilevel"/>
    <w:tmpl w:val="8C34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0E49A3"/>
    <w:multiLevelType w:val="multilevel"/>
    <w:tmpl w:val="921A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4" w15:restartNumberingAfterBreak="0">
    <w:nsid w:val="5B6C00F4"/>
    <w:multiLevelType w:val="hybridMultilevel"/>
    <w:tmpl w:val="A3544A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C0A15BC"/>
    <w:multiLevelType w:val="multilevel"/>
    <w:tmpl w:val="FB6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20529"/>
    <w:multiLevelType w:val="multilevel"/>
    <w:tmpl w:val="5E1A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474EB4"/>
    <w:multiLevelType w:val="hybridMultilevel"/>
    <w:tmpl w:val="38E65052"/>
    <w:lvl w:ilvl="0" w:tplc="7996E26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1" w15:restartNumberingAfterBreak="0">
    <w:nsid w:val="799D47CF"/>
    <w:multiLevelType w:val="hybridMultilevel"/>
    <w:tmpl w:val="05C81CE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2"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2054889676">
    <w:abstractNumId w:val="0"/>
  </w:num>
  <w:num w:numId="2" w16cid:durableId="1524780800">
    <w:abstractNumId w:val="30"/>
  </w:num>
  <w:num w:numId="3" w16cid:durableId="146944054">
    <w:abstractNumId w:val="18"/>
  </w:num>
  <w:num w:numId="4" w16cid:durableId="14549030">
    <w:abstractNumId w:val="19"/>
  </w:num>
  <w:num w:numId="5" w16cid:durableId="437337346">
    <w:abstractNumId w:val="25"/>
  </w:num>
  <w:num w:numId="6" w16cid:durableId="2089307553">
    <w:abstractNumId w:val="23"/>
  </w:num>
  <w:num w:numId="7" w16cid:durableId="365912322">
    <w:abstractNumId w:val="10"/>
  </w:num>
  <w:num w:numId="8" w16cid:durableId="1155341873">
    <w:abstractNumId w:val="21"/>
  </w:num>
  <w:num w:numId="9" w16cid:durableId="1505318501">
    <w:abstractNumId w:val="6"/>
  </w:num>
  <w:num w:numId="10" w16cid:durableId="1991707060">
    <w:abstractNumId w:val="32"/>
  </w:num>
  <w:num w:numId="11" w16cid:durableId="945190377">
    <w:abstractNumId w:val="5"/>
  </w:num>
  <w:num w:numId="12" w16cid:durableId="981495814">
    <w:abstractNumId w:val="1"/>
  </w:num>
  <w:num w:numId="13" w16cid:durableId="1572039786">
    <w:abstractNumId w:val="13"/>
  </w:num>
  <w:num w:numId="14" w16cid:durableId="2029485711">
    <w:abstractNumId w:val="16"/>
  </w:num>
  <w:num w:numId="15" w16cid:durableId="436485905">
    <w:abstractNumId w:val="9"/>
  </w:num>
  <w:num w:numId="16" w16cid:durableId="455607522">
    <w:abstractNumId w:val="14"/>
  </w:num>
  <w:num w:numId="17" w16cid:durableId="1416131095">
    <w:abstractNumId w:val="12"/>
  </w:num>
  <w:num w:numId="18" w16cid:durableId="1035813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097383">
    <w:abstractNumId w:val="7"/>
  </w:num>
  <w:num w:numId="20" w16cid:durableId="17818037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9386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88180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6138966">
    <w:abstractNumId w:val="28"/>
  </w:num>
  <w:num w:numId="24" w16cid:durableId="1398549081">
    <w:abstractNumId w:val="3"/>
  </w:num>
  <w:num w:numId="25" w16cid:durableId="1405181822">
    <w:abstractNumId w:val="15"/>
  </w:num>
  <w:num w:numId="26" w16cid:durableId="1495873634">
    <w:abstractNumId w:val="22"/>
  </w:num>
  <w:num w:numId="27" w16cid:durableId="542795021">
    <w:abstractNumId w:val="8"/>
  </w:num>
  <w:num w:numId="28" w16cid:durableId="950748796">
    <w:abstractNumId w:val="24"/>
  </w:num>
  <w:num w:numId="29" w16cid:durableId="220675742">
    <w:abstractNumId w:val="17"/>
  </w:num>
  <w:num w:numId="30" w16cid:durableId="2086026228">
    <w:abstractNumId w:val="31"/>
  </w:num>
  <w:num w:numId="31" w16cid:durableId="32579399">
    <w:abstractNumId w:val="27"/>
  </w:num>
  <w:num w:numId="32" w16cid:durableId="2010332720">
    <w:abstractNumId w:val="4"/>
  </w:num>
  <w:num w:numId="33" w16cid:durableId="6364906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46C0"/>
    <w:rsid w:val="00003265"/>
    <w:rsid w:val="000033AB"/>
    <w:rsid w:val="00005E3E"/>
    <w:rsid w:val="000078D6"/>
    <w:rsid w:val="00013229"/>
    <w:rsid w:val="00021220"/>
    <w:rsid w:val="0002270C"/>
    <w:rsid w:val="00037894"/>
    <w:rsid w:val="00041FD4"/>
    <w:rsid w:val="00044EBC"/>
    <w:rsid w:val="00062727"/>
    <w:rsid w:val="000627A3"/>
    <w:rsid w:val="00072B5B"/>
    <w:rsid w:val="00084B19"/>
    <w:rsid w:val="00087CB3"/>
    <w:rsid w:val="00093D4D"/>
    <w:rsid w:val="00095B7C"/>
    <w:rsid w:val="000B170D"/>
    <w:rsid w:val="000B6288"/>
    <w:rsid w:val="000C7053"/>
    <w:rsid w:val="000D6359"/>
    <w:rsid w:val="000D706D"/>
    <w:rsid w:val="000E4796"/>
    <w:rsid w:val="000F0A9C"/>
    <w:rsid w:val="000F39C4"/>
    <w:rsid w:val="000F39E0"/>
    <w:rsid w:val="00107239"/>
    <w:rsid w:val="0011039E"/>
    <w:rsid w:val="00113AA9"/>
    <w:rsid w:val="001149E3"/>
    <w:rsid w:val="00142D31"/>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0948"/>
    <w:rsid w:val="002146C0"/>
    <w:rsid w:val="0023184D"/>
    <w:rsid w:val="00243B9D"/>
    <w:rsid w:val="002453AC"/>
    <w:rsid w:val="0027531B"/>
    <w:rsid w:val="002778C0"/>
    <w:rsid w:val="002A7D7B"/>
    <w:rsid w:val="002B0CEE"/>
    <w:rsid w:val="002B46C5"/>
    <w:rsid w:val="002B4FA4"/>
    <w:rsid w:val="002D315C"/>
    <w:rsid w:val="002E02E9"/>
    <w:rsid w:val="002E2101"/>
    <w:rsid w:val="002E6550"/>
    <w:rsid w:val="002F6A6E"/>
    <w:rsid w:val="003109EC"/>
    <w:rsid w:val="003111D6"/>
    <w:rsid w:val="0031532B"/>
    <w:rsid w:val="00316345"/>
    <w:rsid w:val="00320C67"/>
    <w:rsid w:val="00322FF2"/>
    <w:rsid w:val="003233CC"/>
    <w:rsid w:val="00324572"/>
    <w:rsid w:val="003314B3"/>
    <w:rsid w:val="00343378"/>
    <w:rsid w:val="00345081"/>
    <w:rsid w:val="00356C93"/>
    <w:rsid w:val="00363F9F"/>
    <w:rsid w:val="00372B2E"/>
    <w:rsid w:val="003752CC"/>
    <w:rsid w:val="003A4624"/>
    <w:rsid w:val="003A62E5"/>
    <w:rsid w:val="003B476C"/>
    <w:rsid w:val="003C2F93"/>
    <w:rsid w:val="003C3423"/>
    <w:rsid w:val="003D7E34"/>
    <w:rsid w:val="003F0E0C"/>
    <w:rsid w:val="003F3A97"/>
    <w:rsid w:val="00404FD5"/>
    <w:rsid w:val="00421E14"/>
    <w:rsid w:val="00422276"/>
    <w:rsid w:val="004227E0"/>
    <w:rsid w:val="0042310D"/>
    <w:rsid w:val="004335A6"/>
    <w:rsid w:val="00445A88"/>
    <w:rsid w:val="004460CE"/>
    <w:rsid w:val="00452FF6"/>
    <w:rsid w:val="00454FAC"/>
    <w:rsid w:val="00455915"/>
    <w:rsid w:val="00455ED4"/>
    <w:rsid w:val="004665C8"/>
    <w:rsid w:val="00490F12"/>
    <w:rsid w:val="00491DD6"/>
    <w:rsid w:val="004A27D5"/>
    <w:rsid w:val="004A63C6"/>
    <w:rsid w:val="004B0A48"/>
    <w:rsid w:val="004B2B6C"/>
    <w:rsid w:val="004B4C8A"/>
    <w:rsid w:val="004C50CA"/>
    <w:rsid w:val="004C60ED"/>
    <w:rsid w:val="004D215B"/>
    <w:rsid w:val="004D6829"/>
    <w:rsid w:val="004F3AFA"/>
    <w:rsid w:val="004F3D57"/>
    <w:rsid w:val="005054EA"/>
    <w:rsid w:val="00513CEF"/>
    <w:rsid w:val="00530CE6"/>
    <w:rsid w:val="005341B0"/>
    <w:rsid w:val="00543079"/>
    <w:rsid w:val="00563092"/>
    <w:rsid w:val="0057520D"/>
    <w:rsid w:val="005946E7"/>
    <w:rsid w:val="005A1E22"/>
    <w:rsid w:val="005A44F1"/>
    <w:rsid w:val="005A51CF"/>
    <w:rsid w:val="005B2F89"/>
    <w:rsid w:val="005D323E"/>
    <w:rsid w:val="005D4115"/>
    <w:rsid w:val="005E0A32"/>
    <w:rsid w:val="005E52F3"/>
    <w:rsid w:val="005F1CC2"/>
    <w:rsid w:val="0060132D"/>
    <w:rsid w:val="00601FDB"/>
    <w:rsid w:val="0062468F"/>
    <w:rsid w:val="00630AB0"/>
    <w:rsid w:val="00641020"/>
    <w:rsid w:val="006462F2"/>
    <w:rsid w:val="006464C7"/>
    <w:rsid w:val="006507BF"/>
    <w:rsid w:val="00650AEB"/>
    <w:rsid w:val="006567DE"/>
    <w:rsid w:val="006579AF"/>
    <w:rsid w:val="006638C2"/>
    <w:rsid w:val="00665969"/>
    <w:rsid w:val="00666081"/>
    <w:rsid w:val="0068766C"/>
    <w:rsid w:val="00693DCC"/>
    <w:rsid w:val="00694C36"/>
    <w:rsid w:val="00697264"/>
    <w:rsid w:val="006A1712"/>
    <w:rsid w:val="006A1FFB"/>
    <w:rsid w:val="006B6888"/>
    <w:rsid w:val="006B7F73"/>
    <w:rsid w:val="006D01AF"/>
    <w:rsid w:val="006E31C1"/>
    <w:rsid w:val="006F1A94"/>
    <w:rsid w:val="006F5222"/>
    <w:rsid w:val="00700438"/>
    <w:rsid w:val="00714FDB"/>
    <w:rsid w:val="007169ED"/>
    <w:rsid w:val="00716E70"/>
    <w:rsid w:val="007204C9"/>
    <w:rsid w:val="00723F09"/>
    <w:rsid w:val="00733ECD"/>
    <w:rsid w:val="00736082"/>
    <w:rsid w:val="00737453"/>
    <w:rsid w:val="00751DCA"/>
    <w:rsid w:val="007639F1"/>
    <w:rsid w:val="00773BA0"/>
    <w:rsid w:val="0077413F"/>
    <w:rsid w:val="007759AC"/>
    <w:rsid w:val="00776D1B"/>
    <w:rsid w:val="00787609"/>
    <w:rsid w:val="00794685"/>
    <w:rsid w:val="007A7482"/>
    <w:rsid w:val="007B126A"/>
    <w:rsid w:val="007B4ED7"/>
    <w:rsid w:val="007B65FE"/>
    <w:rsid w:val="007C56E6"/>
    <w:rsid w:val="007D05CB"/>
    <w:rsid w:val="007E2887"/>
    <w:rsid w:val="007E4951"/>
    <w:rsid w:val="00802A67"/>
    <w:rsid w:val="00816329"/>
    <w:rsid w:val="00820730"/>
    <w:rsid w:val="008208FC"/>
    <w:rsid w:val="008278C0"/>
    <w:rsid w:val="00834D2B"/>
    <w:rsid w:val="00835764"/>
    <w:rsid w:val="008371F7"/>
    <w:rsid w:val="00842E46"/>
    <w:rsid w:val="00850CA4"/>
    <w:rsid w:val="0085391A"/>
    <w:rsid w:val="0085510B"/>
    <w:rsid w:val="008577CD"/>
    <w:rsid w:val="00866852"/>
    <w:rsid w:val="00881E9F"/>
    <w:rsid w:val="00883FFE"/>
    <w:rsid w:val="00895600"/>
    <w:rsid w:val="008A650B"/>
    <w:rsid w:val="008B142B"/>
    <w:rsid w:val="008B5FBD"/>
    <w:rsid w:val="008B683E"/>
    <w:rsid w:val="008C415C"/>
    <w:rsid w:val="008D2FE1"/>
    <w:rsid w:val="008D3BDD"/>
    <w:rsid w:val="008F1460"/>
    <w:rsid w:val="008F254E"/>
    <w:rsid w:val="008F2973"/>
    <w:rsid w:val="008F4B7A"/>
    <w:rsid w:val="0091249C"/>
    <w:rsid w:val="009157AA"/>
    <w:rsid w:val="00915DCD"/>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4012"/>
    <w:rsid w:val="009A6FE0"/>
    <w:rsid w:val="009A7EC7"/>
    <w:rsid w:val="009C6A34"/>
    <w:rsid w:val="009D3546"/>
    <w:rsid w:val="009D38D8"/>
    <w:rsid w:val="009F4164"/>
    <w:rsid w:val="00A132A9"/>
    <w:rsid w:val="00A16046"/>
    <w:rsid w:val="00A250CE"/>
    <w:rsid w:val="00A371D8"/>
    <w:rsid w:val="00A37EAC"/>
    <w:rsid w:val="00A423B3"/>
    <w:rsid w:val="00A45302"/>
    <w:rsid w:val="00A463BF"/>
    <w:rsid w:val="00A52A47"/>
    <w:rsid w:val="00A65F17"/>
    <w:rsid w:val="00A665FA"/>
    <w:rsid w:val="00A66C2B"/>
    <w:rsid w:val="00A720C1"/>
    <w:rsid w:val="00A73A7C"/>
    <w:rsid w:val="00A863B9"/>
    <w:rsid w:val="00A86B7D"/>
    <w:rsid w:val="00A90934"/>
    <w:rsid w:val="00AA5E08"/>
    <w:rsid w:val="00AB599F"/>
    <w:rsid w:val="00AE163F"/>
    <w:rsid w:val="00AE77D8"/>
    <w:rsid w:val="00B01FB1"/>
    <w:rsid w:val="00B0709A"/>
    <w:rsid w:val="00B109A1"/>
    <w:rsid w:val="00B4263C"/>
    <w:rsid w:val="00B5059B"/>
    <w:rsid w:val="00B557DD"/>
    <w:rsid w:val="00B63E39"/>
    <w:rsid w:val="00B67672"/>
    <w:rsid w:val="00B7070E"/>
    <w:rsid w:val="00B82BF4"/>
    <w:rsid w:val="00BA536E"/>
    <w:rsid w:val="00BC193A"/>
    <w:rsid w:val="00BC37C2"/>
    <w:rsid w:val="00BC642A"/>
    <w:rsid w:val="00BD026A"/>
    <w:rsid w:val="00BD3DA1"/>
    <w:rsid w:val="00BE4278"/>
    <w:rsid w:val="00BE5842"/>
    <w:rsid w:val="00BF3665"/>
    <w:rsid w:val="00C02E4C"/>
    <w:rsid w:val="00C158E8"/>
    <w:rsid w:val="00C2334E"/>
    <w:rsid w:val="00C270E3"/>
    <w:rsid w:val="00C31280"/>
    <w:rsid w:val="00C31F46"/>
    <w:rsid w:val="00C4563E"/>
    <w:rsid w:val="00C470BE"/>
    <w:rsid w:val="00C5614A"/>
    <w:rsid w:val="00C57AAF"/>
    <w:rsid w:val="00C602C6"/>
    <w:rsid w:val="00C63D3F"/>
    <w:rsid w:val="00C67154"/>
    <w:rsid w:val="00C74959"/>
    <w:rsid w:val="00C76A48"/>
    <w:rsid w:val="00C839DF"/>
    <w:rsid w:val="00C85378"/>
    <w:rsid w:val="00C9076F"/>
    <w:rsid w:val="00CB169D"/>
    <w:rsid w:val="00CC1249"/>
    <w:rsid w:val="00CD4153"/>
    <w:rsid w:val="00CD4CF5"/>
    <w:rsid w:val="00CE65BE"/>
    <w:rsid w:val="00CF1FF3"/>
    <w:rsid w:val="00CF5F48"/>
    <w:rsid w:val="00D06529"/>
    <w:rsid w:val="00D115EA"/>
    <w:rsid w:val="00D13C4D"/>
    <w:rsid w:val="00D23191"/>
    <w:rsid w:val="00D23346"/>
    <w:rsid w:val="00D30EEA"/>
    <w:rsid w:val="00D3260A"/>
    <w:rsid w:val="00D4596D"/>
    <w:rsid w:val="00D47476"/>
    <w:rsid w:val="00D52286"/>
    <w:rsid w:val="00D5463F"/>
    <w:rsid w:val="00D5769E"/>
    <w:rsid w:val="00D73CF7"/>
    <w:rsid w:val="00D90707"/>
    <w:rsid w:val="00D95012"/>
    <w:rsid w:val="00DC357F"/>
    <w:rsid w:val="00DC41F1"/>
    <w:rsid w:val="00DD39FE"/>
    <w:rsid w:val="00DD5B52"/>
    <w:rsid w:val="00DD6481"/>
    <w:rsid w:val="00DE0FC6"/>
    <w:rsid w:val="00DE2ED7"/>
    <w:rsid w:val="00DE5CBE"/>
    <w:rsid w:val="00E00821"/>
    <w:rsid w:val="00E026ED"/>
    <w:rsid w:val="00E0329D"/>
    <w:rsid w:val="00E134EF"/>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44203"/>
    <w:rsid w:val="00F53510"/>
    <w:rsid w:val="00F55F39"/>
    <w:rsid w:val="00F60A3D"/>
    <w:rsid w:val="00F63DEA"/>
    <w:rsid w:val="00F704A6"/>
    <w:rsid w:val="00F71E18"/>
    <w:rsid w:val="00F743D6"/>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BF70"/>
  <w15:docId w15:val="{9CA101F7-C220-4274-96C2-615F92E3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229"/>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table" w:styleId="a7">
    <w:name w:val="Table Grid"/>
    <w:basedOn w:val="a1"/>
    <w:uiPriority w:val="59"/>
    <w:rsid w:val="008956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284121248">
      <w:bodyDiv w:val="1"/>
      <w:marLeft w:val="0"/>
      <w:marRight w:val="0"/>
      <w:marTop w:val="0"/>
      <w:marBottom w:val="0"/>
      <w:divBdr>
        <w:top w:val="none" w:sz="0" w:space="0" w:color="auto"/>
        <w:left w:val="none" w:sz="0" w:space="0" w:color="auto"/>
        <w:bottom w:val="none" w:sz="0" w:space="0" w:color="auto"/>
        <w:right w:val="none" w:sz="0" w:space="0" w:color="auto"/>
      </w:divBdr>
    </w:div>
    <w:div w:id="317542889">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44988971">
      <w:bodyDiv w:val="1"/>
      <w:marLeft w:val="0"/>
      <w:marRight w:val="0"/>
      <w:marTop w:val="0"/>
      <w:marBottom w:val="0"/>
      <w:divBdr>
        <w:top w:val="none" w:sz="0" w:space="0" w:color="auto"/>
        <w:left w:val="none" w:sz="0" w:space="0" w:color="auto"/>
        <w:bottom w:val="none" w:sz="0" w:space="0" w:color="auto"/>
        <w:right w:val="none" w:sz="0" w:space="0" w:color="auto"/>
      </w:divBdr>
    </w:div>
    <w:div w:id="36537004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642779934">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94393203">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8911652">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54524129">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9F88-7EF6-471C-85A9-25005966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968</Words>
  <Characters>5230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8</cp:revision>
  <cp:lastPrinted>2026-01-09T07:42:00Z</cp:lastPrinted>
  <dcterms:created xsi:type="dcterms:W3CDTF">2026-03-02T06:49:00Z</dcterms:created>
  <dcterms:modified xsi:type="dcterms:W3CDTF">2026-04-01T10:35:00Z</dcterms:modified>
</cp:coreProperties>
</file>