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1"/>
      </w:tblGrid>
      <w:tr w:rsidR="00C9076F" w14:paraId="775C5398" w14:textId="77777777" w:rsidTr="00433B90">
        <w:trPr>
          <w:jc w:val="center"/>
        </w:trPr>
        <w:tc>
          <w:tcPr>
            <w:tcW w:w="10591" w:type="dxa"/>
          </w:tcPr>
          <w:p w14:paraId="41EE9CE0" w14:textId="77777777" w:rsidR="00C9076F" w:rsidRPr="002100BE" w:rsidRDefault="00C9076F" w:rsidP="00E7547B">
            <w:pPr>
              <w:pStyle w:val="1"/>
              <w:tabs>
                <w:tab w:val="clear" w:pos="0"/>
                <w:tab w:val="num" w:pos="424"/>
              </w:tabs>
              <w:spacing w:after="100"/>
              <w:rPr>
                <w:bCs/>
                <w:sz w:val="24"/>
              </w:rPr>
            </w:pPr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14:paraId="7A051770" w14:textId="77777777" w:rsidR="00C9076F" w:rsidRPr="00186A34" w:rsidRDefault="00C9076F" w:rsidP="00E7547B">
            <w:pPr>
              <w:tabs>
                <w:tab w:val="num" w:pos="424"/>
              </w:tabs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14:paraId="30610A44" w14:textId="77777777" w:rsidR="00C9076F" w:rsidRPr="00AB599F" w:rsidRDefault="00C9076F" w:rsidP="00E7547B">
            <w:pPr>
              <w:tabs>
                <w:tab w:val="num" w:pos="424"/>
              </w:tabs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14:paraId="15D39FCF" w14:textId="77777777" w:rsidR="00C9076F" w:rsidRPr="00AB599F" w:rsidRDefault="00C9076F" w:rsidP="00E7547B">
            <w:pPr>
              <w:tabs>
                <w:tab w:val="num" w:pos="424"/>
              </w:tabs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14:paraId="72A67827" w14:textId="77777777" w:rsidR="00C9076F" w:rsidRPr="00490F12" w:rsidRDefault="00C9076F" w:rsidP="00E7547B">
            <w:pPr>
              <w:tabs>
                <w:tab w:val="num" w:pos="424"/>
              </w:tabs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</w:p>
        </w:tc>
      </w:tr>
    </w:tbl>
    <w:p w14:paraId="2BFFEFEC" w14:textId="77777777" w:rsidR="00D34A4A" w:rsidRPr="00D34A4A" w:rsidRDefault="00D34A4A" w:rsidP="00F908DB">
      <w:pPr>
        <w:ind w:left="5760" w:firstLine="720"/>
        <w:jc w:val="both"/>
        <w:rPr>
          <w:rFonts w:ascii="Times New Roman" w:eastAsia="Times New Roman" w:hAnsi="Times New Roman"/>
          <w:b/>
          <w:bCs/>
          <w:sz w:val="4"/>
          <w:szCs w:val="4"/>
        </w:rPr>
      </w:pPr>
    </w:p>
    <w:p w14:paraId="14A3F466" w14:textId="29E90CD6" w:rsidR="00513164" w:rsidRPr="00D34A4A" w:rsidRDefault="00AE5E2B" w:rsidP="006357C9">
      <w:pPr>
        <w:spacing w:after="0" w:line="264" w:lineRule="auto"/>
        <w:ind w:left="5760" w:firstLine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E5E2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245AE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="00433B90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F908DB" w:rsidRPr="00D34A4A">
        <w:rPr>
          <w:rFonts w:ascii="Times New Roman" w:eastAsia="Times New Roman" w:hAnsi="Times New Roman"/>
          <w:b/>
          <w:bCs/>
          <w:sz w:val="24"/>
          <w:szCs w:val="24"/>
        </w:rPr>
        <w:t>Αθήνα</w:t>
      </w:r>
      <w:r w:rsidR="0098242E" w:rsidRPr="00D34A4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E1F2D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E41DA9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2F7514" w:rsidRPr="00D34A4A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1245AE" w:rsidRPr="00D34A4A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566ED4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513164" w:rsidRPr="00D34A4A">
        <w:rPr>
          <w:rFonts w:ascii="Times New Roman" w:eastAsia="Times New Roman" w:hAnsi="Times New Roman"/>
          <w:b/>
          <w:bCs/>
          <w:sz w:val="24"/>
          <w:szCs w:val="24"/>
        </w:rPr>
        <w:t>-202</w:t>
      </w:r>
      <w:r w:rsidR="002F7514" w:rsidRPr="00D34A4A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70E3A15A" w14:textId="77777777" w:rsidR="002B294F" w:rsidRDefault="002B294F" w:rsidP="00E7547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D648B">
        <w:rPr>
          <w:b/>
          <w:bCs/>
          <w:sz w:val="28"/>
          <w:szCs w:val="28"/>
        </w:rPr>
        <w:t>ΔΕΛΤΙΟ ΤΥΠΟΥ</w:t>
      </w:r>
    </w:p>
    <w:p w14:paraId="30908C87" w14:textId="77777777" w:rsidR="0056519E" w:rsidRPr="0056519E" w:rsidRDefault="0056519E" w:rsidP="00B3766E">
      <w:pPr>
        <w:spacing w:after="0" w:line="240" w:lineRule="auto"/>
        <w:rPr>
          <w:rFonts w:cs="Calibri"/>
          <w:sz w:val="8"/>
          <w:szCs w:val="8"/>
        </w:rPr>
      </w:pPr>
    </w:p>
    <w:p w14:paraId="36B77F7A" w14:textId="77777777" w:rsidR="00E41DA9" w:rsidRPr="00E41DA9" w:rsidRDefault="00E41DA9" w:rsidP="00E41DA9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Διάταξη Χατζηδάκη: Δεν είναι μεταρρύθμιση – είναι οργανωμένη απόσυρση του κράτους από την ευθύνη</w:t>
      </w:r>
    </w:p>
    <w:p w14:paraId="38A24EE7" w14:textId="77777777" w:rsidR="00E41DA9" w:rsidRPr="00E41DA9" w:rsidRDefault="00E41DA9" w:rsidP="00E41DA9">
      <w:pPr>
        <w:shd w:val="clear" w:color="auto" w:fill="FFFFFF"/>
        <w:spacing w:after="160" w:line="235" w:lineRule="atLeast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 </w:t>
      </w:r>
    </w:p>
    <w:p w14:paraId="45B9B6C1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Η διάταξη Χατζηδάκη για τους “πιστοποιημένους επαγγελματίες” ανοίγει ένα νέο κύκλο ιδιωτικοποίησης κρίσιμων λειτουργιών του δημοσίου. 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κυβέρνηση επιχειρεί να παρουσιάσει ως «εκσυγχρονισμό» μια βαθιά προβληματική νομοθετική επιλογή, η οποία στην πραγματικότητα μεταφέρει κρίσιμες αρμοδιότητες του δημοσίου σε ιδιώτες, αποδυναμώνει τη θεσμική ευθύνη της Διοίκησης και δημιουργεί νέο πεδίο αδιαφάνειας, συναλλαγής και διάχυσης ευθυνών.</w:t>
      </w:r>
    </w:p>
    <w:p w14:paraId="00A4E4DB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διάταξη Χατζηδάκη για τους λεγόμενους «πιστοποιημένους επαγγελματίες» δεν συνιστά μεταρρύθμιση. Συνιστά 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πολιτική ομολογία αδυναμίας του κράτους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 να οργανώσει, να στελεχώσει και να ελέγξει τις ίδιες του τις λειτουργίες. Και αντί η κυβέρνηση να διορθώσει τις παθογένειες της διοίκησης, επιλέγει να τις 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παρακάμψει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, παραδίδοντας κρίσιμες διαδικασίες σε εξωτερικούς ιδιώτες.</w:t>
      </w:r>
    </w:p>
    <w:p w14:paraId="50EC57C3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Αυτό δεν είναι επιτελικό κράτος. Είναι κράτος-παρατηρητής.</w:t>
      </w:r>
    </w:p>
    <w:p w14:paraId="15EFA225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Ιδιαίτερα στον ευαίσθητο χώρο των αγροτικών ενισχύσεων και της αγροτικής παραγωγής, η επιλογή αυτή είναι θεσμικά και πολιτικά επικίνδυνη. Η Διοίκηση περιορίζεται σε ρόλο επικυρωτή, ενώ η ευθύνη χάνεται μέσα σε ένα θολό σύστημα μεταφοράς αρμοδιοτήτων.</w:t>
      </w:r>
    </w:p>
    <w:p w14:paraId="252C1D44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συγκεκριμένη ρύθμιση υποβαθμίζει τον πυρήνα της δημόσιας διοίκησης, ακυρώνει την ανάγκη ουσιαστικής ενίσχυσης των υπηρεσιών, επιβαρύνει πολίτες και παραγωγούς και ανοίγει επικίνδυνα πεδία για πελατειακές εξαρτήσεις και ιδιωτικά δίκτυα επιρροής.</w:t>
      </w:r>
    </w:p>
    <w:p w14:paraId="286B798B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Με απλά λόγια: 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η κυβέρνηση δεν λύνει το πρόβλημα, μετακινεί το πρόβλημα έξω από το κράτος, για να θολώσει ποιος τελικά ευθύνεται.</w:t>
      </w:r>
    </w:p>
    <w:p w14:paraId="3E229A0B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Αυτό είναι το πιο ανησυχητικό στοιχείο της διάταξης. Σε μια περίοδο που η κοινωνία ζητά έλεγχο, διαφάνεια και καθαρούς κανόνες, η κυβέρνηση θεσμοθετεί ένα μοντέλο όπου η ευθύνη διαχέεται, η λογοδοσία αδυνατίζει και ο πολίτης κινδυνεύει να βρεθεί ξανά όμηρος ιδιωτικών κυκλωμάτων «διεκπεραίωσης».</w:t>
      </w:r>
    </w:p>
    <w:p w14:paraId="507C7BF3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Για την ΠΟΓΕΔΥ, το ζήτημα είναι απολύτως καθαρό: Κρίσιμες λειτουργίες του δημοσίου 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δεν μπορεί να εκχωρούνται εμμέσως σε ιδιώτες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, με το κράτος να κρατά μόνο τη σφραγίδα και να αποποιείται στην πράξη την ουσία της ευθύνης.</w:t>
      </w:r>
    </w:p>
    <w:p w14:paraId="52ABFEF4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Οι γεωτεχνικές υπηρεσίες δεν χρειάζονται υποκατάστατα. Χρειάζονται 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ενίσχυση, στελέχωση, θεσμική κατοχύρωση και επιχειρησιακή ανασυγκρότηση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.</w:t>
      </w:r>
    </w:p>
    <w:p w14:paraId="2B60C323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χώρα δεν έχει ανάγκη από ένα νέο μοντέλο διοίκησης μέσω “πιστοποιημένων μεσαζόντων”. Έχει ανάγκη από 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ισχυρό δημόσιο μηχανισμό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, με επιστημονική επάρκεια, διαφάνεια και πραγματικό έλεγχο.</w:t>
      </w:r>
    </w:p>
    <w:p w14:paraId="3A2AF027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lastRenderedPageBreak/>
        <w:t>Η ΠΟΓΕΔΥ προειδοποιεί:</w:t>
      </w:r>
    </w:p>
    <w:p w14:paraId="1C4BEB3A" w14:textId="77777777" w:rsidR="00E41DA9" w:rsidRPr="00E41DA9" w:rsidRDefault="00E41DA9" w:rsidP="00E41DA9">
      <w:pPr>
        <w:shd w:val="clear" w:color="auto" w:fill="FFFFFF"/>
        <w:spacing w:after="0" w:line="235" w:lineRule="atLeast"/>
        <w:ind w:left="720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ascii="Symbol" w:eastAsia="Times New Roman" w:hAnsi="Symbol" w:cs="Calibri"/>
          <w:color w:val="222222"/>
          <w:sz w:val="24"/>
          <w:szCs w:val="24"/>
          <w:lang w:eastAsia="el-GR"/>
        </w:rPr>
        <w:t>-</w:t>
      </w:r>
      <w:r w:rsidRPr="00E41DA9">
        <w:rPr>
          <w:rFonts w:ascii="Times New Roman" w:eastAsia="Times New Roman" w:hAnsi="Times New Roman"/>
          <w:color w:val="222222"/>
          <w:sz w:val="14"/>
          <w:szCs w:val="14"/>
          <w:lang w:eastAsia="el-GR"/>
        </w:rPr>
        <w:t>        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αποτυχία οργάνωσης του κράτους δεν μπορεί να βαφτίζεται μεταρρύθμιση.</w:t>
      </w:r>
    </w:p>
    <w:p w14:paraId="278BC87E" w14:textId="77777777" w:rsidR="00E41DA9" w:rsidRPr="00E41DA9" w:rsidRDefault="00E41DA9" w:rsidP="00E41DA9">
      <w:pPr>
        <w:shd w:val="clear" w:color="auto" w:fill="FFFFFF"/>
        <w:spacing w:after="0" w:line="235" w:lineRule="atLeast"/>
        <w:ind w:left="720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ascii="Symbol" w:eastAsia="Times New Roman" w:hAnsi="Symbol" w:cs="Calibri"/>
          <w:color w:val="222222"/>
          <w:sz w:val="24"/>
          <w:szCs w:val="24"/>
          <w:lang w:eastAsia="el-GR"/>
        </w:rPr>
        <w:t>-</w:t>
      </w:r>
      <w:r w:rsidRPr="00E41DA9">
        <w:rPr>
          <w:rFonts w:ascii="Times New Roman" w:eastAsia="Times New Roman" w:hAnsi="Times New Roman"/>
          <w:color w:val="222222"/>
          <w:sz w:val="14"/>
          <w:szCs w:val="14"/>
          <w:lang w:eastAsia="el-GR"/>
        </w:rPr>
        <w:t>        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απόσυρση της Διοίκησης από τον πυρήνα των ευθυνών της δεν μπορεί να παρουσιάζεται ως πρόοδος.</w:t>
      </w:r>
    </w:p>
    <w:p w14:paraId="38975AFF" w14:textId="77777777" w:rsidR="00E41DA9" w:rsidRPr="00E41DA9" w:rsidRDefault="00E41DA9" w:rsidP="00E41DA9">
      <w:pPr>
        <w:shd w:val="clear" w:color="auto" w:fill="FFFFFF"/>
        <w:spacing w:after="0" w:line="235" w:lineRule="atLeast"/>
        <w:ind w:left="720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ascii="Symbol" w:eastAsia="Times New Roman" w:hAnsi="Symbol" w:cs="Calibri"/>
          <w:color w:val="222222"/>
          <w:sz w:val="24"/>
          <w:szCs w:val="24"/>
          <w:lang w:eastAsia="el-GR"/>
        </w:rPr>
        <w:t>-</w:t>
      </w:r>
      <w:r w:rsidRPr="00E41DA9">
        <w:rPr>
          <w:rFonts w:ascii="Times New Roman" w:eastAsia="Times New Roman" w:hAnsi="Times New Roman"/>
          <w:color w:val="222222"/>
          <w:sz w:val="14"/>
          <w:szCs w:val="14"/>
          <w:lang w:eastAsia="el-GR"/>
        </w:rPr>
        <w:t>        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χώρα δεν μπορεί να επιστρέφει, με νέο περιτύλιγμα, σε μοντέλα που αναπαράγουν εξαρτήσεις, αδιαφάνεια και πολλαπλά κέντρα επιρροής.</w:t>
      </w:r>
    </w:p>
    <w:p w14:paraId="218ABE95" w14:textId="77777777" w:rsidR="00E41DA9" w:rsidRPr="00E41DA9" w:rsidRDefault="00E41DA9" w:rsidP="00E41DA9">
      <w:pPr>
        <w:shd w:val="clear" w:color="auto" w:fill="FFFFFF"/>
        <w:spacing w:after="160" w:line="235" w:lineRule="atLeast"/>
        <w:ind w:left="720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ascii="Symbol" w:eastAsia="Times New Roman" w:hAnsi="Symbol" w:cs="Calibri"/>
          <w:color w:val="222222"/>
          <w:sz w:val="24"/>
          <w:szCs w:val="24"/>
          <w:lang w:eastAsia="el-GR"/>
        </w:rPr>
        <w:t>-</w:t>
      </w:r>
      <w:r w:rsidRPr="00E41DA9">
        <w:rPr>
          <w:rFonts w:ascii="Times New Roman" w:eastAsia="Times New Roman" w:hAnsi="Times New Roman"/>
          <w:color w:val="222222"/>
          <w:sz w:val="14"/>
          <w:szCs w:val="14"/>
          <w:lang w:eastAsia="el-GR"/>
        </w:rPr>
        <w:t>        </w:t>
      </w:r>
      <w:r w:rsidRPr="00E41DA9">
        <w:rPr>
          <w:rFonts w:eastAsia="Times New Roman" w:cs="Calibri"/>
          <w:color w:val="222222"/>
          <w:sz w:val="24"/>
          <w:szCs w:val="24"/>
          <w:lang w:eastAsia="el-GR"/>
        </w:rPr>
        <w:t>Η πραγματική μεταρρύθμιση είναι μία: ισχυρές δημόσιες υπηρεσίες, καθαρές αρμοδιότητες, θεσμική λογοδοσία και ουσιαστικός έλεγχος.</w:t>
      </w:r>
    </w:p>
    <w:p w14:paraId="62BE1AB7" w14:textId="77777777" w:rsidR="00E41DA9" w:rsidRPr="00E41DA9" w:rsidRDefault="00E41DA9" w:rsidP="00E41DA9">
      <w:pPr>
        <w:shd w:val="clear" w:color="auto" w:fill="FFFFFF"/>
        <w:spacing w:after="160" w:line="235" w:lineRule="atLeast"/>
        <w:jc w:val="both"/>
        <w:rPr>
          <w:rFonts w:eastAsia="Times New Roman" w:cs="Calibri"/>
          <w:color w:val="222222"/>
          <w:lang w:eastAsia="el-GR"/>
        </w:rPr>
      </w:pP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t>Όλα τα υπόλοιπα είναι επικοινωνιακή διαχείριση μιας βαθιά πολιτικής επιλογής:</w:t>
      </w:r>
      <w:r w:rsidRPr="00E41DA9">
        <w:rPr>
          <w:rFonts w:eastAsia="Times New Roman" w:cs="Calibri"/>
          <w:b/>
          <w:bCs/>
          <w:color w:val="222222"/>
          <w:sz w:val="24"/>
          <w:szCs w:val="24"/>
          <w:lang w:eastAsia="el-GR"/>
        </w:rPr>
        <w:br/>
        <w:t>να αποσυρθεί το κράτος από εκεί όπου οφείλει να είναι παρόν.</w:t>
      </w:r>
    </w:p>
    <w:p w14:paraId="76C62801" w14:textId="0CB92B1C" w:rsidR="00CE1F2D" w:rsidRPr="00B3766E" w:rsidRDefault="00F33EA5" w:rsidP="00B3766E">
      <w:pPr>
        <w:shd w:val="clear" w:color="auto" w:fill="FFFFFF"/>
        <w:spacing w:after="60" w:line="200" w:lineRule="atLeast"/>
        <w:jc w:val="both"/>
        <w:rPr>
          <w:rFonts w:asciiTheme="minorHAnsi" w:eastAsia="Times New Roman" w:hAnsiTheme="minorHAnsi" w:cstheme="minorHAnsi"/>
          <w:color w:val="222222"/>
          <w:sz w:val="23"/>
          <w:szCs w:val="23"/>
          <w:lang w:eastAsia="el-GR"/>
        </w:rPr>
      </w:pPr>
      <w:r w:rsidRPr="00F33EA5">
        <w:rPr>
          <w:rFonts w:asciiTheme="minorHAnsi" w:eastAsia="Times New Roman" w:hAnsiTheme="minorHAnsi" w:cstheme="minorHAnsi"/>
          <w:b/>
          <w:bCs/>
          <w:color w:val="222222"/>
          <w:sz w:val="23"/>
          <w:szCs w:val="23"/>
          <w:lang w:eastAsia="el-GR"/>
        </w:rPr>
        <w:t>.</w:t>
      </w:r>
    </w:p>
    <w:p w14:paraId="64E0CE3C" w14:textId="2EB66CA5" w:rsidR="00842E46" w:rsidRPr="00B3766E" w:rsidRDefault="00B3766E" w:rsidP="00093D4D">
      <w:pPr>
        <w:ind w:left="6480" w:right="-193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  </w:t>
      </w:r>
      <w:r w:rsidR="00842E46" w:rsidRPr="00B3766E">
        <w:rPr>
          <w:rFonts w:asciiTheme="minorHAnsi" w:hAnsiTheme="minorHAnsi" w:cstheme="minorHAnsi"/>
          <w:b/>
          <w:bCs/>
          <w:sz w:val="23"/>
          <w:szCs w:val="23"/>
        </w:rPr>
        <w:t>Για  το  Δ.Σ.</w:t>
      </w:r>
    </w:p>
    <w:p w14:paraId="1F54BA3A" w14:textId="77777777" w:rsidR="00842E46" w:rsidRPr="00842E46" w:rsidRDefault="009F4164" w:rsidP="00842E46">
      <w:pPr>
        <w:spacing w:line="240" w:lineRule="auto"/>
        <w:ind w:left="57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109A1" w:rsidRPr="00940202">
        <w:rPr>
          <w:noProof/>
          <w:szCs w:val="28"/>
          <w:lang w:eastAsia="el-GR"/>
        </w:rPr>
        <w:drawing>
          <wp:inline distT="0" distB="0" distL="0" distR="0" wp14:anchorId="1079022A" wp14:editId="160D91B8">
            <wp:extent cx="1303020" cy="11611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29" cy="11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46" w:rsidRPr="00842E46" w:rsidSect="00E41D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D5A17"/>
    <w:multiLevelType w:val="hybridMultilevel"/>
    <w:tmpl w:val="740C8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3992"/>
    <w:multiLevelType w:val="multilevel"/>
    <w:tmpl w:val="C53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570CE"/>
    <w:multiLevelType w:val="hybridMultilevel"/>
    <w:tmpl w:val="CC4CF59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7E8"/>
    <w:multiLevelType w:val="hybridMultilevel"/>
    <w:tmpl w:val="0304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0294A"/>
    <w:multiLevelType w:val="multilevel"/>
    <w:tmpl w:val="7BAC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C6221"/>
    <w:multiLevelType w:val="hybridMultilevel"/>
    <w:tmpl w:val="2762314E"/>
    <w:lvl w:ilvl="0" w:tplc="9A74DCE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25D5A71"/>
    <w:multiLevelType w:val="multilevel"/>
    <w:tmpl w:val="B74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43CE4"/>
    <w:multiLevelType w:val="hybridMultilevel"/>
    <w:tmpl w:val="8F54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05E80"/>
    <w:multiLevelType w:val="multilevel"/>
    <w:tmpl w:val="4E8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63C5C"/>
    <w:multiLevelType w:val="hybridMultilevel"/>
    <w:tmpl w:val="9F10A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F66CF"/>
    <w:multiLevelType w:val="hybridMultilevel"/>
    <w:tmpl w:val="BCDE339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DB49B1"/>
    <w:multiLevelType w:val="hybridMultilevel"/>
    <w:tmpl w:val="B76C3976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0F03C8E"/>
    <w:multiLevelType w:val="multilevel"/>
    <w:tmpl w:val="98A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6B3234"/>
    <w:multiLevelType w:val="hybridMultilevel"/>
    <w:tmpl w:val="543CE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49DF"/>
    <w:multiLevelType w:val="hybridMultilevel"/>
    <w:tmpl w:val="9824403E"/>
    <w:lvl w:ilvl="0" w:tplc="7500FB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8BA1074"/>
    <w:multiLevelType w:val="multilevel"/>
    <w:tmpl w:val="B18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945EC"/>
    <w:multiLevelType w:val="hybridMultilevel"/>
    <w:tmpl w:val="650A94EC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72046FC"/>
    <w:multiLevelType w:val="hybridMultilevel"/>
    <w:tmpl w:val="01BE51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F10BED"/>
    <w:multiLevelType w:val="hybridMultilevel"/>
    <w:tmpl w:val="52CA712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84915660">
    <w:abstractNumId w:val="0"/>
  </w:num>
  <w:num w:numId="2" w16cid:durableId="308051476">
    <w:abstractNumId w:val="18"/>
  </w:num>
  <w:num w:numId="3" w16cid:durableId="1991250476">
    <w:abstractNumId w:val="11"/>
  </w:num>
  <w:num w:numId="4" w16cid:durableId="1951429494">
    <w:abstractNumId w:val="12"/>
  </w:num>
  <w:num w:numId="5" w16cid:durableId="1005061095">
    <w:abstractNumId w:val="17"/>
  </w:num>
  <w:num w:numId="6" w16cid:durableId="1456825621">
    <w:abstractNumId w:val="15"/>
  </w:num>
  <w:num w:numId="7" w16cid:durableId="1129395342">
    <w:abstractNumId w:val="6"/>
  </w:num>
  <w:num w:numId="8" w16cid:durableId="948203645">
    <w:abstractNumId w:val="14"/>
  </w:num>
  <w:num w:numId="9" w16cid:durableId="1944728874">
    <w:abstractNumId w:val="4"/>
  </w:num>
  <w:num w:numId="10" w16cid:durableId="1944145783">
    <w:abstractNumId w:val="19"/>
  </w:num>
  <w:num w:numId="11" w16cid:durableId="365953771">
    <w:abstractNumId w:val="3"/>
  </w:num>
  <w:num w:numId="12" w16cid:durableId="792752433">
    <w:abstractNumId w:val="1"/>
  </w:num>
  <w:num w:numId="13" w16cid:durableId="1346783473">
    <w:abstractNumId w:val="8"/>
  </w:num>
  <w:num w:numId="14" w16cid:durableId="544636593">
    <w:abstractNumId w:val="10"/>
  </w:num>
  <w:num w:numId="15" w16cid:durableId="1250312452">
    <w:abstractNumId w:val="5"/>
  </w:num>
  <w:num w:numId="16" w16cid:durableId="368530882">
    <w:abstractNumId w:val="9"/>
  </w:num>
  <w:num w:numId="17" w16cid:durableId="375007545">
    <w:abstractNumId w:val="7"/>
  </w:num>
  <w:num w:numId="18" w16cid:durableId="12614031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2906670">
    <w:abstractNumId w:val="13"/>
  </w:num>
  <w:num w:numId="20" w16cid:durableId="84216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6C0"/>
    <w:rsid w:val="000033AB"/>
    <w:rsid w:val="00005E3E"/>
    <w:rsid w:val="000078D6"/>
    <w:rsid w:val="00021220"/>
    <w:rsid w:val="0002270C"/>
    <w:rsid w:val="00026E9A"/>
    <w:rsid w:val="00032A80"/>
    <w:rsid w:val="00037894"/>
    <w:rsid w:val="00044EBC"/>
    <w:rsid w:val="000607F4"/>
    <w:rsid w:val="000627A3"/>
    <w:rsid w:val="00072B5B"/>
    <w:rsid w:val="00084B19"/>
    <w:rsid w:val="00087CB3"/>
    <w:rsid w:val="00093D4D"/>
    <w:rsid w:val="00095B7C"/>
    <w:rsid w:val="000B170D"/>
    <w:rsid w:val="000B6288"/>
    <w:rsid w:val="000C56E7"/>
    <w:rsid w:val="000C7053"/>
    <w:rsid w:val="000D706D"/>
    <w:rsid w:val="000F0A9C"/>
    <w:rsid w:val="000F39E0"/>
    <w:rsid w:val="000F4F9C"/>
    <w:rsid w:val="00107239"/>
    <w:rsid w:val="0011039E"/>
    <w:rsid w:val="00113AA9"/>
    <w:rsid w:val="001245AE"/>
    <w:rsid w:val="00144D11"/>
    <w:rsid w:val="00150AA2"/>
    <w:rsid w:val="00167B46"/>
    <w:rsid w:val="001801F9"/>
    <w:rsid w:val="00180E82"/>
    <w:rsid w:val="00183624"/>
    <w:rsid w:val="00186A34"/>
    <w:rsid w:val="00193D93"/>
    <w:rsid w:val="001C3965"/>
    <w:rsid w:val="001C58C6"/>
    <w:rsid w:val="001D4992"/>
    <w:rsid w:val="001D70FB"/>
    <w:rsid w:val="001E2B23"/>
    <w:rsid w:val="001F1046"/>
    <w:rsid w:val="001F626C"/>
    <w:rsid w:val="002100BE"/>
    <w:rsid w:val="002146C0"/>
    <w:rsid w:val="0023184D"/>
    <w:rsid w:val="00243B9D"/>
    <w:rsid w:val="0027531B"/>
    <w:rsid w:val="0027591A"/>
    <w:rsid w:val="002778C0"/>
    <w:rsid w:val="00287ED1"/>
    <w:rsid w:val="002B0CEE"/>
    <w:rsid w:val="002B294F"/>
    <w:rsid w:val="002E2101"/>
    <w:rsid w:val="002F6A6E"/>
    <w:rsid w:val="002F7514"/>
    <w:rsid w:val="0031532B"/>
    <w:rsid w:val="00316345"/>
    <w:rsid w:val="00322FF2"/>
    <w:rsid w:val="003314B3"/>
    <w:rsid w:val="00343378"/>
    <w:rsid w:val="00345081"/>
    <w:rsid w:val="00356C93"/>
    <w:rsid w:val="00363F9F"/>
    <w:rsid w:val="00365249"/>
    <w:rsid w:val="00372B2E"/>
    <w:rsid w:val="003752CC"/>
    <w:rsid w:val="003A4624"/>
    <w:rsid w:val="003A5B5F"/>
    <w:rsid w:val="003A62E5"/>
    <w:rsid w:val="003B476C"/>
    <w:rsid w:val="003C2F93"/>
    <w:rsid w:val="003D7E34"/>
    <w:rsid w:val="003F0E0C"/>
    <w:rsid w:val="003F3A97"/>
    <w:rsid w:val="00404FD5"/>
    <w:rsid w:val="00421E14"/>
    <w:rsid w:val="00433B90"/>
    <w:rsid w:val="00436D3B"/>
    <w:rsid w:val="00445A88"/>
    <w:rsid w:val="004460CE"/>
    <w:rsid w:val="00454FAC"/>
    <w:rsid w:val="00455915"/>
    <w:rsid w:val="00455ED4"/>
    <w:rsid w:val="00463C15"/>
    <w:rsid w:val="004859ED"/>
    <w:rsid w:val="00490F12"/>
    <w:rsid w:val="00491DD6"/>
    <w:rsid w:val="00497734"/>
    <w:rsid w:val="004A27D5"/>
    <w:rsid w:val="004B0A48"/>
    <w:rsid w:val="004B2B6C"/>
    <w:rsid w:val="004C60ED"/>
    <w:rsid w:val="005054EA"/>
    <w:rsid w:val="00513164"/>
    <w:rsid w:val="00513CEF"/>
    <w:rsid w:val="00543079"/>
    <w:rsid w:val="00563C34"/>
    <w:rsid w:val="0056519E"/>
    <w:rsid w:val="00566ED4"/>
    <w:rsid w:val="0057520D"/>
    <w:rsid w:val="00595B9B"/>
    <w:rsid w:val="005A44F1"/>
    <w:rsid w:val="005B2F89"/>
    <w:rsid w:val="005D323E"/>
    <w:rsid w:val="005E0A32"/>
    <w:rsid w:val="005E5003"/>
    <w:rsid w:val="005E52F3"/>
    <w:rsid w:val="005E670F"/>
    <w:rsid w:val="005F1CC2"/>
    <w:rsid w:val="0062468F"/>
    <w:rsid w:val="00630AB0"/>
    <w:rsid w:val="006357C9"/>
    <w:rsid w:val="006462F2"/>
    <w:rsid w:val="006507BF"/>
    <w:rsid w:val="006567DE"/>
    <w:rsid w:val="006579AF"/>
    <w:rsid w:val="006638C2"/>
    <w:rsid w:val="00665969"/>
    <w:rsid w:val="00666081"/>
    <w:rsid w:val="00671768"/>
    <w:rsid w:val="0068766C"/>
    <w:rsid w:val="00694C36"/>
    <w:rsid w:val="006A0B08"/>
    <w:rsid w:val="006A1712"/>
    <w:rsid w:val="006A1FFB"/>
    <w:rsid w:val="006B6888"/>
    <w:rsid w:val="006D01AF"/>
    <w:rsid w:val="006D11F3"/>
    <w:rsid w:val="006E31C1"/>
    <w:rsid w:val="006F1A94"/>
    <w:rsid w:val="006F5222"/>
    <w:rsid w:val="00714FDB"/>
    <w:rsid w:val="00716E70"/>
    <w:rsid w:val="007204C9"/>
    <w:rsid w:val="00733ECD"/>
    <w:rsid w:val="00737453"/>
    <w:rsid w:val="00751DCA"/>
    <w:rsid w:val="007639F1"/>
    <w:rsid w:val="00773BA0"/>
    <w:rsid w:val="0077413F"/>
    <w:rsid w:val="007759AC"/>
    <w:rsid w:val="00776D1B"/>
    <w:rsid w:val="00787609"/>
    <w:rsid w:val="007B126A"/>
    <w:rsid w:val="007B65FE"/>
    <w:rsid w:val="007C56E6"/>
    <w:rsid w:val="007E4951"/>
    <w:rsid w:val="00802A67"/>
    <w:rsid w:val="0081539C"/>
    <w:rsid w:val="008278C0"/>
    <w:rsid w:val="00835764"/>
    <w:rsid w:val="00842E46"/>
    <w:rsid w:val="00850CA4"/>
    <w:rsid w:val="00850FD7"/>
    <w:rsid w:val="008530C3"/>
    <w:rsid w:val="0085391A"/>
    <w:rsid w:val="0085510B"/>
    <w:rsid w:val="00855D5B"/>
    <w:rsid w:val="008577CD"/>
    <w:rsid w:val="00866852"/>
    <w:rsid w:val="008A650B"/>
    <w:rsid w:val="008B142B"/>
    <w:rsid w:val="008B5FBD"/>
    <w:rsid w:val="008B683E"/>
    <w:rsid w:val="008C415C"/>
    <w:rsid w:val="008D3BDD"/>
    <w:rsid w:val="008D429F"/>
    <w:rsid w:val="008F1460"/>
    <w:rsid w:val="008F2973"/>
    <w:rsid w:val="008F4B7A"/>
    <w:rsid w:val="0091249C"/>
    <w:rsid w:val="00934A88"/>
    <w:rsid w:val="00937ED3"/>
    <w:rsid w:val="00947421"/>
    <w:rsid w:val="009475B9"/>
    <w:rsid w:val="00947EF5"/>
    <w:rsid w:val="009647F7"/>
    <w:rsid w:val="00972571"/>
    <w:rsid w:val="00975546"/>
    <w:rsid w:val="0098242E"/>
    <w:rsid w:val="009869A5"/>
    <w:rsid w:val="009875DA"/>
    <w:rsid w:val="00987A30"/>
    <w:rsid w:val="009C6A34"/>
    <w:rsid w:val="009F4164"/>
    <w:rsid w:val="00A13CB5"/>
    <w:rsid w:val="00A16046"/>
    <w:rsid w:val="00A371D8"/>
    <w:rsid w:val="00A37EAC"/>
    <w:rsid w:val="00A54159"/>
    <w:rsid w:val="00A65F17"/>
    <w:rsid w:val="00A665FA"/>
    <w:rsid w:val="00A73A7C"/>
    <w:rsid w:val="00A863B9"/>
    <w:rsid w:val="00A86B7D"/>
    <w:rsid w:val="00A90934"/>
    <w:rsid w:val="00AA08CF"/>
    <w:rsid w:val="00AA55AC"/>
    <w:rsid w:val="00AA5E08"/>
    <w:rsid w:val="00AB599F"/>
    <w:rsid w:val="00AE163F"/>
    <w:rsid w:val="00AE5E2B"/>
    <w:rsid w:val="00B01FB1"/>
    <w:rsid w:val="00B109A1"/>
    <w:rsid w:val="00B3766E"/>
    <w:rsid w:val="00B4263C"/>
    <w:rsid w:val="00B5059B"/>
    <w:rsid w:val="00B557DD"/>
    <w:rsid w:val="00B63E39"/>
    <w:rsid w:val="00B67672"/>
    <w:rsid w:val="00B73104"/>
    <w:rsid w:val="00B82BF4"/>
    <w:rsid w:val="00B8463E"/>
    <w:rsid w:val="00BA536E"/>
    <w:rsid w:val="00BC193A"/>
    <w:rsid w:val="00BC37C2"/>
    <w:rsid w:val="00BD026A"/>
    <w:rsid w:val="00BE4278"/>
    <w:rsid w:val="00BF3665"/>
    <w:rsid w:val="00C2334E"/>
    <w:rsid w:val="00C270E3"/>
    <w:rsid w:val="00C31280"/>
    <w:rsid w:val="00C31F46"/>
    <w:rsid w:val="00C34302"/>
    <w:rsid w:val="00C4563E"/>
    <w:rsid w:val="00C470BE"/>
    <w:rsid w:val="00C57AAF"/>
    <w:rsid w:val="00C57F47"/>
    <w:rsid w:val="00C602C6"/>
    <w:rsid w:val="00C67154"/>
    <w:rsid w:val="00C74959"/>
    <w:rsid w:val="00C76A48"/>
    <w:rsid w:val="00C85378"/>
    <w:rsid w:val="00C9076F"/>
    <w:rsid w:val="00CB169D"/>
    <w:rsid w:val="00CC1249"/>
    <w:rsid w:val="00CD4153"/>
    <w:rsid w:val="00CE1F2D"/>
    <w:rsid w:val="00CE65BE"/>
    <w:rsid w:val="00CF1FF3"/>
    <w:rsid w:val="00CF5F48"/>
    <w:rsid w:val="00D06529"/>
    <w:rsid w:val="00D115EA"/>
    <w:rsid w:val="00D13C4D"/>
    <w:rsid w:val="00D23191"/>
    <w:rsid w:val="00D23346"/>
    <w:rsid w:val="00D3260A"/>
    <w:rsid w:val="00D34A4A"/>
    <w:rsid w:val="00D5463F"/>
    <w:rsid w:val="00D73CF7"/>
    <w:rsid w:val="00D90707"/>
    <w:rsid w:val="00D95012"/>
    <w:rsid w:val="00DD39FE"/>
    <w:rsid w:val="00DD5B52"/>
    <w:rsid w:val="00DE2ED7"/>
    <w:rsid w:val="00E00821"/>
    <w:rsid w:val="00E026ED"/>
    <w:rsid w:val="00E0329D"/>
    <w:rsid w:val="00E0693F"/>
    <w:rsid w:val="00E2629C"/>
    <w:rsid w:val="00E26B4E"/>
    <w:rsid w:val="00E41ADB"/>
    <w:rsid w:val="00E41DA9"/>
    <w:rsid w:val="00E42092"/>
    <w:rsid w:val="00E44D22"/>
    <w:rsid w:val="00E528F3"/>
    <w:rsid w:val="00E622C9"/>
    <w:rsid w:val="00E629D3"/>
    <w:rsid w:val="00E65076"/>
    <w:rsid w:val="00E67ED8"/>
    <w:rsid w:val="00E701AC"/>
    <w:rsid w:val="00E7547B"/>
    <w:rsid w:val="00E818D3"/>
    <w:rsid w:val="00E948B2"/>
    <w:rsid w:val="00EA1E18"/>
    <w:rsid w:val="00EA3502"/>
    <w:rsid w:val="00EB7A35"/>
    <w:rsid w:val="00EE6A8D"/>
    <w:rsid w:val="00EF5AE3"/>
    <w:rsid w:val="00F0652F"/>
    <w:rsid w:val="00F13E57"/>
    <w:rsid w:val="00F148B0"/>
    <w:rsid w:val="00F15586"/>
    <w:rsid w:val="00F22062"/>
    <w:rsid w:val="00F31565"/>
    <w:rsid w:val="00F33EA5"/>
    <w:rsid w:val="00F55F39"/>
    <w:rsid w:val="00F70F56"/>
    <w:rsid w:val="00F77125"/>
    <w:rsid w:val="00F81421"/>
    <w:rsid w:val="00F83DB9"/>
    <w:rsid w:val="00F908DB"/>
    <w:rsid w:val="00FA6177"/>
    <w:rsid w:val="00FD14FA"/>
    <w:rsid w:val="00FD6DFF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8743"/>
  <w15:docId w15:val="{E68E0FEC-7915-4C12-8A49-BA23F26D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styleId="a7">
    <w:name w:val="Unresolved Mention"/>
    <w:basedOn w:val="a0"/>
    <w:uiPriority w:val="99"/>
    <w:semiHidden/>
    <w:unhideWhenUsed/>
    <w:rsid w:val="00C5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4638-0AB1-4A1E-876D-B21D65B4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</cp:lastModifiedBy>
  <cp:revision>30</cp:revision>
  <cp:lastPrinted>2022-11-28T09:18:00Z</cp:lastPrinted>
  <dcterms:created xsi:type="dcterms:W3CDTF">2026-02-11T08:42:00Z</dcterms:created>
  <dcterms:modified xsi:type="dcterms:W3CDTF">2026-03-27T04:04:00Z</dcterms:modified>
</cp:coreProperties>
</file>