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93" w:type="dxa"/>
        <w:jc w:val="center"/>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93"/>
      </w:tblGrid>
      <w:tr w:rsidR="00C9076F" w:rsidTr="006357C9">
        <w:trPr>
          <w:jc w:val="center"/>
        </w:trPr>
        <w:tc>
          <w:tcPr>
            <w:tcW w:w="9993" w:type="dxa"/>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D34A4A" w:rsidRPr="00D34A4A" w:rsidRDefault="00D34A4A" w:rsidP="00F908DB">
      <w:pPr>
        <w:ind w:left="5760" w:firstLine="720"/>
        <w:jc w:val="both"/>
        <w:rPr>
          <w:rFonts w:ascii="Times New Roman" w:eastAsia="Times New Roman" w:hAnsi="Times New Roman"/>
          <w:b/>
          <w:bCs/>
          <w:sz w:val="4"/>
          <w:szCs w:val="4"/>
        </w:rPr>
      </w:pPr>
    </w:p>
    <w:p w:rsidR="00513164" w:rsidRPr="00D34A4A" w:rsidRDefault="00AE5E2B" w:rsidP="006357C9">
      <w:pPr>
        <w:spacing w:after="0" w:line="264" w:lineRule="auto"/>
        <w:ind w:left="5760" w:firstLine="720"/>
        <w:jc w:val="both"/>
        <w:rPr>
          <w:rFonts w:ascii="Times New Roman" w:eastAsia="Times New Roman" w:hAnsi="Times New Roman"/>
          <w:b/>
          <w:bCs/>
          <w:sz w:val="24"/>
          <w:szCs w:val="24"/>
        </w:rPr>
      </w:pPr>
      <w:r w:rsidRPr="00AE5E2B">
        <w:rPr>
          <w:rFonts w:ascii="Times New Roman" w:eastAsia="Times New Roman" w:hAnsi="Times New Roman"/>
          <w:b/>
          <w:bCs/>
          <w:sz w:val="28"/>
          <w:szCs w:val="28"/>
        </w:rPr>
        <w:t xml:space="preserve"> </w:t>
      </w:r>
      <w:r w:rsidRPr="001245AE">
        <w:rPr>
          <w:rFonts w:ascii="Times New Roman" w:eastAsia="Times New Roman" w:hAnsi="Times New Roman"/>
          <w:b/>
          <w:bCs/>
          <w:sz w:val="28"/>
          <w:szCs w:val="28"/>
        </w:rPr>
        <w:t xml:space="preserve">             </w:t>
      </w:r>
      <w:r w:rsidR="00F908DB" w:rsidRPr="00D34A4A">
        <w:rPr>
          <w:rFonts w:ascii="Times New Roman" w:eastAsia="Times New Roman" w:hAnsi="Times New Roman"/>
          <w:b/>
          <w:bCs/>
          <w:sz w:val="24"/>
          <w:szCs w:val="24"/>
        </w:rPr>
        <w:t>Αθήνα</w:t>
      </w:r>
      <w:r w:rsidR="0098242E" w:rsidRPr="00D34A4A">
        <w:rPr>
          <w:rFonts w:ascii="Times New Roman" w:eastAsia="Times New Roman" w:hAnsi="Times New Roman"/>
          <w:b/>
          <w:bCs/>
          <w:sz w:val="24"/>
          <w:szCs w:val="24"/>
        </w:rPr>
        <w:t xml:space="preserve"> </w:t>
      </w:r>
      <w:r w:rsidR="00D34A4A" w:rsidRPr="00D34A4A">
        <w:rPr>
          <w:rFonts w:ascii="Times New Roman" w:eastAsia="Times New Roman" w:hAnsi="Times New Roman"/>
          <w:b/>
          <w:bCs/>
          <w:sz w:val="24"/>
          <w:szCs w:val="24"/>
        </w:rPr>
        <w:t>24</w:t>
      </w:r>
      <w:r w:rsidR="002F7514" w:rsidRPr="00D34A4A">
        <w:rPr>
          <w:rFonts w:ascii="Times New Roman" w:eastAsia="Times New Roman" w:hAnsi="Times New Roman"/>
          <w:b/>
          <w:bCs/>
          <w:sz w:val="24"/>
          <w:szCs w:val="24"/>
        </w:rPr>
        <w:t>-</w:t>
      </w:r>
      <w:r w:rsidR="001245AE" w:rsidRPr="00D34A4A">
        <w:rPr>
          <w:rFonts w:ascii="Times New Roman" w:eastAsia="Times New Roman" w:hAnsi="Times New Roman"/>
          <w:b/>
          <w:bCs/>
          <w:sz w:val="24"/>
          <w:szCs w:val="24"/>
        </w:rPr>
        <w:t>0</w:t>
      </w:r>
      <w:r w:rsidR="002F7514" w:rsidRPr="00D34A4A">
        <w:rPr>
          <w:rFonts w:ascii="Times New Roman" w:eastAsia="Times New Roman" w:hAnsi="Times New Roman"/>
          <w:b/>
          <w:bCs/>
          <w:sz w:val="24"/>
          <w:szCs w:val="24"/>
        </w:rPr>
        <w:t>2</w:t>
      </w:r>
      <w:r w:rsidR="00513164" w:rsidRPr="00D34A4A">
        <w:rPr>
          <w:rFonts w:ascii="Times New Roman" w:eastAsia="Times New Roman" w:hAnsi="Times New Roman"/>
          <w:b/>
          <w:bCs/>
          <w:sz w:val="24"/>
          <w:szCs w:val="24"/>
        </w:rPr>
        <w:t>-202</w:t>
      </w:r>
      <w:r w:rsidR="002F7514" w:rsidRPr="00D34A4A">
        <w:rPr>
          <w:rFonts w:ascii="Times New Roman" w:eastAsia="Times New Roman" w:hAnsi="Times New Roman"/>
          <w:b/>
          <w:bCs/>
          <w:sz w:val="24"/>
          <w:szCs w:val="24"/>
        </w:rPr>
        <w:t>6</w:t>
      </w:r>
    </w:p>
    <w:p w:rsidR="002B294F" w:rsidRDefault="002B294F" w:rsidP="0056519E">
      <w:pPr>
        <w:spacing w:after="0" w:line="240" w:lineRule="auto"/>
        <w:ind w:firstLine="142"/>
        <w:jc w:val="center"/>
        <w:rPr>
          <w:b/>
          <w:bCs/>
          <w:sz w:val="28"/>
          <w:szCs w:val="28"/>
        </w:rPr>
      </w:pPr>
      <w:r w:rsidRPr="009D648B">
        <w:rPr>
          <w:b/>
          <w:bCs/>
          <w:sz w:val="28"/>
          <w:szCs w:val="28"/>
        </w:rPr>
        <w:t>ΔΕΛΤΙΟ ΤΥΠΟΥ</w:t>
      </w:r>
    </w:p>
    <w:p w:rsidR="0056519E" w:rsidRPr="0056519E" w:rsidRDefault="0056519E" w:rsidP="0056519E">
      <w:pPr>
        <w:spacing w:after="0" w:line="240" w:lineRule="auto"/>
        <w:ind w:firstLine="142"/>
        <w:jc w:val="center"/>
        <w:rPr>
          <w:rFonts w:cs="Calibri"/>
          <w:sz w:val="8"/>
          <w:szCs w:val="8"/>
        </w:rPr>
      </w:pPr>
    </w:p>
    <w:p w:rsidR="00D34A4A" w:rsidRDefault="00850FD7" w:rsidP="00850FD7">
      <w:pPr>
        <w:pStyle w:val="Web"/>
        <w:spacing w:before="0" w:beforeAutospacing="0" w:after="0" w:afterAutospacing="0"/>
        <w:jc w:val="center"/>
        <w:rPr>
          <w:rStyle w:val="a3"/>
          <w:rFonts w:asciiTheme="minorHAnsi" w:hAnsiTheme="minorHAnsi" w:cstheme="minorHAnsi"/>
        </w:rPr>
      </w:pPr>
      <w:r w:rsidRPr="00850FD7">
        <w:rPr>
          <w:rStyle w:val="a3"/>
          <w:rFonts w:asciiTheme="minorHAnsi" w:hAnsiTheme="minorHAnsi" w:cstheme="minorHAnsi"/>
        </w:rPr>
        <w:t>Δύο μέτρα και δύο σταθμά – Οι ίδιοι μηχανισμοί, οι ίδιες σκιές</w:t>
      </w:r>
    </w:p>
    <w:p w:rsidR="00595B9B" w:rsidRPr="00595B9B" w:rsidRDefault="00595B9B" w:rsidP="0056519E">
      <w:pPr>
        <w:pStyle w:val="Web"/>
        <w:spacing w:before="0" w:beforeAutospacing="0" w:after="0" w:afterAutospacing="0"/>
        <w:jc w:val="both"/>
        <w:rPr>
          <w:rStyle w:val="a3"/>
          <w:rFonts w:asciiTheme="minorHAnsi" w:hAnsiTheme="minorHAnsi" w:cstheme="minorHAnsi"/>
          <w:sz w:val="16"/>
          <w:szCs w:val="16"/>
        </w:rPr>
      </w:pPr>
    </w:p>
    <w:p w:rsidR="00D34A4A" w:rsidRPr="00D34A4A" w:rsidRDefault="00D34A4A" w:rsidP="00EF5AE3">
      <w:pPr>
        <w:spacing w:after="60" w:line="264" w:lineRule="auto"/>
        <w:jc w:val="both"/>
        <w:rPr>
          <w:rFonts w:asciiTheme="minorHAnsi" w:eastAsia="Times New Roman" w:hAnsiTheme="minorHAnsi" w:cstheme="minorHAnsi"/>
          <w:sz w:val="24"/>
          <w:szCs w:val="24"/>
          <w:lang w:eastAsia="el-GR"/>
        </w:rPr>
      </w:pPr>
      <w:r w:rsidRPr="00D34A4A">
        <w:rPr>
          <w:rFonts w:asciiTheme="minorHAnsi" w:eastAsia="Times New Roman" w:hAnsiTheme="minorHAnsi" w:cstheme="minorHAnsi"/>
          <w:sz w:val="24"/>
          <w:szCs w:val="24"/>
          <w:lang w:eastAsia="el-GR"/>
        </w:rPr>
        <w:t xml:space="preserve">Σοβαρά ερωτήματα θεσμικής αξιοπιστίας εγείρονται από τα στοιχεία και τα δημοσιεύματα που αφορούν τον αγροτικό τομέα, τους ελέγχους ενισχύσεων και τη διαχείριση δημόσιου χρήματος στο πλαίσιο του </w:t>
      </w:r>
      <w:r w:rsidRPr="00D34A4A">
        <w:rPr>
          <w:rFonts w:asciiTheme="minorHAnsi" w:eastAsia="Times New Roman" w:hAnsiTheme="minorHAnsi" w:cstheme="minorHAnsi"/>
          <w:bCs/>
          <w:sz w:val="24"/>
          <w:szCs w:val="24"/>
          <w:lang w:eastAsia="el-GR"/>
        </w:rPr>
        <w:t>ΟΠΕΚΕΠΕ</w:t>
      </w:r>
      <w:r w:rsidRPr="00D34A4A">
        <w:rPr>
          <w:rFonts w:asciiTheme="minorHAnsi" w:eastAsia="Times New Roman" w:hAnsiTheme="minorHAnsi" w:cstheme="minorHAnsi"/>
          <w:sz w:val="24"/>
          <w:szCs w:val="24"/>
          <w:lang w:eastAsia="el-GR"/>
        </w:rPr>
        <w:t>. Η εικόνα που διαμορφώνεται δεν παραπέμπει σε μεμονωμένες αστοχίες, αλλά στην επαναλαμβανόμενη λειτουργία ενός σταθερού συστήματος επιρροής.</w:t>
      </w:r>
    </w:p>
    <w:p w:rsidR="00D34A4A" w:rsidRPr="00D34A4A" w:rsidRDefault="00D34A4A" w:rsidP="00EF5AE3">
      <w:pPr>
        <w:spacing w:after="60" w:line="264" w:lineRule="auto"/>
        <w:jc w:val="both"/>
        <w:rPr>
          <w:rFonts w:asciiTheme="minorHAnsi" w:eastAsia="Times New Roman" w:hAnsiTheme="minorHAnsi" w:cstheme="minorHAnsi"/>
          <w:sz w:val="24"/>
          <w:szCs w:val="24"/>
          <w:lang w:eastAsia="el-GR"/>
        </w:rPr>
      </w:pPr>
      <w:r w:rsidRPr="00D34A4A">
        <w:rPr>
          <w:rFonts w:asciiTheme="minorHAnsi" w:eastAsia="Times New Roman" w:hAnsiTheme="minorHAnsi" w:cstheme="minorHAnsi"/>
          <w:sz w:val="24"/>
          <w:szCs w:val="24"/>
          <w:lang w:eastAsia="el-GR"/>
        </w:rPr>
        <w:t xml:space="preserve">Σε επίπεδο φυσικών προσώπων, γνωστών παραγωγών και </w:t>
      </w:r>
      <w:proofErr w:type="spellStart"/>
      <w:r w:rsidRPr="00D34A4A">
        <w:rPr>
          <w:rFonts w:asciiTheme="minorHAnsi" w:eastAsia="Times New Roman" w:hAnsiTheme="minorHAnsi" w:cstheme="minorHAnsi"/>
          <w:sz w:val="24"/>
          <w:szCs w:val="24"/>
          <w:lang w:eastAsia="el-GR"/>
        </w:rPr>
        <w:t>αγροτοσυνδικαλιστών</w:t>
      </w:r>
      <w:proofErr w:type="spellEnd"/>
      <w:r w:rsidRPr="00D34A4A">
        <w:rPr>
          <w:rFonts w:asciiTheme="minorHAnsi" w:eastAsia="Times New Roman" w:hAnsiTheme="minorHAnsi" w:cstheme="minorHAnsi"/>
          <w:sz w:val="24"/>
          <w:szCs w:val="24"/>
          <w:lang w:eastAsia="el-GR"/>
        </w:rPr>
        <w:t xml:space="preserve"> από την Κρήτη, είναι εμφανής η διαφοροποίηση στην ένταση και την εξέλιξη των ελέγχων. </w:t>
      </w:r>
      <w:r w:rsidRPr="00D34A4A">
        <w:rPr>
          <w:rFonts w:asciiTheme="minorHAnsi" w:hAnsiTheme="minorHAnsi" w:cstheme="minorHAnsi"/>
          <w:sz w:val="24"/>
          <w:szCs w:val="24"/>
        </w:rPr>
        <w:t xml:space="preserve">Σε μία περίπτωση </w:t>
      </w:r>
      <w:r w:rsidRPr="00D34A4A">
        <w:rPr>
          <w:rFonts w:asciiTheme="minorHAnsi" w:eastAsia="Times New Roman" w:hAnsiTheme="minorHAnsi" w:cstheme="minorHAnsi"/>
          <w:sz w:val="24"/>
          <w:szCs w:val="24"/>
          <w:lang w:eastAsia="el-GR"/>
        </w:rPr>
        <w:t xml:space="preserve">τα πορίσματα διαρρέουν </w:t>
      </w:r>
      <w:r w:rsidR="00EF5AE3">
        <w:rPr>
          <w:rFonts w:asciiTheme="minorHAnsi" w:eastAsia="Times New Roman" w:hAnsiTheme="minorHAnsi" w:cstheme="minorHAnsi"/>
          <w:sz w:val="24"/>
          <w:szCs w:val="24"/>
          <w:lang w:eastAsia="el-GR"/>
        </w:rPr>
        <w:t xml:space="preserve">συνεχώς </w:t>
      </w:r>
      <w:r w:rsidRPr="00D34A4A">
        <w:rPr>
          <w:rFonts w:asciiTheme="minorHAnsi" w:eastAsia="Times New Roman" w:hAnsiTheme="minorHAnsi" w:cstheme="minorHAnsi"/>
          <w:sz w:val="24"/>
          <w:szCs w:val="24"/>
          <w:lang w:eastAsia="el-GR"/>
        </w:rPr>
        <w:t>και οδηγούν άμεσα σε βαριές ποινικές συνέπειες, ενώ σε άλλες –</w:t>
      </w:r>
      <w:r w:rsidR="00595B9B">
        <w:rPr>
          <w:rFonts w:asciiTheme="minorHAnsi" w:eastAsia="Times New Roman" w:hAnsiTheme="minorHAnsi" w:cstheme="minorHAnsi"/>
          <w:sz w:val="24"/>
          <w:szCs w:val="24"/>
          <w:lang w:eastAsia="el-GR"/>
        </w:rPr>
        <w:t xml:space="preserve"> </w:t>
      </w:r>
      <w:r w:rsidRPr="00D34A4A">
        <w:rPr>
          <w:rFonts w:asciiTheme="minorHAnsi" w:eastAsia="Times New Roman" w:hAnsiTheme="minorHAnsi" w:cstheme="minorHAnsi"/>
          <w:sz w:val="24"/>
          <w:szCs w:val="24"/>
          <w:lang w:eastAsia="el-GR"/>
        </w:rPr>
        <w:t>παρά την ύπαρξη σοβαρών ενδείξεων για οικονομικά ευρήματα, περιουσιακά στοιχεία και θεσμικές παραλείψεις</w:t>
      </w:r>
      <w:r w:rsidR="00595B9B">
        <w:rPr>
          <w:rFonts w:asciiTheme="minorHAnsi" w:eastAsia="Times New Roman" w:hAnsiTheme="minorHAnsi" w:cstheme="minorHAnsi"/>
          <w:sz w:val="24"/>
          <w:szCs w:val="24"/>
          <w:lang w:eastAsia="el-GR"/>
        </w:rPr>
        <w:t xml:space="preserve"> </w:t>
      </w:r>
      <w:r w:rsidRPr="00D34A4A">
        <w:rPr>
          <w:rFonts w:asciiTheme="minorHAnsi" w:eastAsia="Times New Roman" w:hAnsiTheme="minorHAnsi" w:cstheme="minorHAnsi"/>
          <w:sz w:val="24"/>
          <w:szCs w:val="24"/>
          <w:lang w:eastAsia="el-GR"/>
        </w:rPr>
        <w:t xml:space="preserve">– επικρατεί αδράνεια και σιωπή από την </w:t>
      </w:r>
      <w:r w:rsidRPr="00D34A4A">
        <w:rPr>
          <w:rFonts w:asciiTheme="minorHAnsi" w:eastAsia="Times New Roman" w:hAnsiTheme="minorHAnsi" w:cstheme="minorHAnsi"/>
          <w:bCs/>
          <w:sz w:val="24"/>
          <w:szCs w:val="24"/>
          <w:lang w:eastAsia="el-GR"/>
        </w:rPr>
        <w:t>Αρχή για το Ξέπλυμα Χρήματος</w:t>
      </w:r>
      <w:r w:rsidRPr="00D34A4A">
        <w:rPr>
          <w:rFonts w:asciiTheme="minorHAnsi" w:eastAsia="Times New Roman" w:hAnsiTheme="minorHAnsi" w:cstheme="minorHAnsi"/>
          <w:sz w:val="24"/>
          <w:szCs w:val="24"/>
          <w:lang w:eastAsia="el-GR"/>
        </w:rPr>
        <w:t>.</w:t>
      </w:r>
    </w:p>
    <w:p w:rsidR="00D34A4A" w:rsidRPr="00D34A4A" w:rsidRDefault="00D34A4A" w:rsidP="00EF5AE3">
      <w:pPr>
        <w:pStyle w:val="Web"/>
        <w:spacing w:before="0" w:beforeAutospacing="0" w:after="60" w:afterAutospacing="0" w:line="264" w:lineRule="auto"/>
        <w:jc w:val="both"/>
        <w:rPr>
          <w:rFonts w:asciiTheme="minorHAnsi" w:hAnsiTheme="minorHAnsi" w:cstheme="minorHAnsi"/>
        </w:rPr>
      </w:pPr>
      <w:r w:rsidRPr="00D34A4A">
        <w:rPr>
          <w:rFonts w:asciiTheme="minorHAnsi" w:hAnsiTheme="minorHAnsi" w:cstheme="minorHAnsi"/>
        </w:rPr>
        <w:t>Την ίδια στιγμή, εταιρίες που συνδέονται με το σύστημα των αγροτικών ενισχύσεων και συνεργάζονται στενά με το Δημόσιο εμφανίζουν δυσανάλογα υψηλά υπόλοιπα μετρητών στα ταμεία τους, παρά το ότι δεν δραστηριοποιούνται στη λιανική και οι συναλλαγές τους πραγματοποιούνται μέσω τραπεζικού συστήματος. Πρόκειται για πρακτικές που συνιστούν σαφή «</w:t>
      </w:r>
      <w:proofErr w:type="spellStart"/>
      <w:r w:rsidRPr="00D34A4A">
        <w:rPr>
          <w:rFonts w:asciiTheme="minorHAnsi" w:hAnsiTheme="minorHAnsi" w:cstheme="minorHAnsi"/>
        </w:rPr>
        <w:t>red</w:t>
      </w:r>
      <w:proofErr w:type="spellEnd"/>
      <w:r w:rsidRPr="00D34A4A">
        <w:rPr>
          <w:rFonts w:asciiTheme="minorHAnsi" w:hAnsiTheme="minorHAnsi" w:cstheme="minorHAnsi"/>
        </w:rPr>
        <w:t xml:space="preserve"> </w:t>
      </w:r>
      <w:proofErr w:type="spellStart"/>
      <w:r w:rsidRPr="00D34A4A">
        <w:rPr>
          <w:rFonts w:asciiTheme="minorHAnsi" w:hAnsiTheme="minorHAnsi" w:cstheme="minorHAnsi"/>
        </w:rPr>
        <w:t>flag</w:t>
      </w:r>
      <w:proofErr w:type="spellEnd"/>
      <w:r w:rsidRPr="00D34A4A">
        <w:rPr>
          <w:rFonts w:asciiTheme="minorHAnsi" w:hAnsiTheme="minorHAnsi" w:cstheme="minorHAnsi"/>
        </w:rPr>
        <w:t xml:space="preserve">» </w:t>
      </w:r>
      <w:r w:rsidRPr="00D34A4A">
        <w:rPr>
          <w:rFonts w:asciiTheme="minorHAnsi" w:hAnsiTheme="minorHAnsi" w:cstheme="minorHAnsi"/>
          <w:color w:val="222222"/>
        </w:rPr>
        <w:t>συναγερμό για ορκωτούς ελεγκτές και εποπτικές αρχές</w:t>
      </w:r>
      <w:r w:rsidRPr="00D34A4A">
        <w:rPr>
          <w:rFonts w:asciiTheme="minorHAnsi" w:hAnsiTheme="minorHAnsi" w:cstheme="minorHAnsi"/>
        </w:rPr>
        <w:t xml:space="preserve">, χωρίς ωστόσο να προκύπτει ουσιαστική κινητοποίηση ούτε από την </w:t>
      </w:r>
      <w:r w:rsidRPr="00D34A4A">
        <w:rPr>
          <w:rFonts w:asciiTheme="minorHAnsi" w:hAnsiTheme="minorHAnsi" w:cstheme="minorHAnsi"/>
          <w:bCs/>
        </w:rPr>
        <w:t>ΑΑΔΕ</w:t>
      </w:r>
      <w:r w:rsidRPr="00D34A4A">
        <w:rPr>
          <w:rFonts w:asciiTheme="minorHAnsi" w:hAnsiTheme="minorHAnsi" w:cstheme="minorHAnsi"/>
        </w:rPr>
        <w:t>.</w:t>
      </w:r>
    </w:p>
    <w:p w:rsidR="00D34A4A" w:rsidRPr="00D34A4A" w:rsidRDefault="00D34A4A" w:rsidP="00EF5AE3">
      <w:pPr>
        <w:spacing w:after="60" w:line="264" w:lineRule="auto"/>
        <w:jc w:val="both"/>
        <w:rPr>
          <w:rFonts w:asciiTheme="minorHAnsi" w:eastAsia="Times New Roman" w:hAnsiTheme="minorHAnsi" w:cstheme="minorHAnsi"/>
          <w:sz w:val="24"/>
          <w:szCs w:val="24"/>
          <w:lang w:eastAsia="el-GR"/>
        </w:rPr>
      </w:pPr>
      <w:r w:rsidRPr="00D34A4A">
        <w:rPr>
          <w:rFonts w:asciiTheme="minorHAnsi" w:eastAsia="Times New Roman" w:hAnsiTheme="minorHAnsi" w:cstheme="minorHAnsi"/>
          <w:sz w:val="24"/>
          <w:szCs w:val="24"/>
          <w:lang w:eastAsia="el-GR"/>
        </w:rPr>
        <w:t>Τα φαινόμενα αυτά δεν μπορούν να εξεταστούν αποσπασματικά. Εντάσσονται σε μια διαχρονική διαδρομή της αγροτικής οικονομίας: από τις επιδοτήσεις στον δανεισμό και από τον δανεισμό στη διαχείριση του χρέους. Οι κρίσεις αλλάζουν μορφή, όχι όμως και οι μηχανισμοί που τις διαχειρίζονται.</w:t>
      </w:r>
    </w:p>
    <w:p w:rsidR="00D34A4A" w:rsidRPr="00D34A4A" w:rsidRDefault="00D34A4A" w:rsidP="00EF5AE3">
      <w:pPr>
        <w:spacing w:after="60" w:line="264" w:lineRule="auto"/>
        <w:jc w:val="both"/>
        <w:rPr>
          <w:rFonts w:asciiTheme="minorHAnsi" w:eastAsia="Times New Roman" w:hAnsiTheme="minorHAnsi" w:cstheme="minorHAnsi"/>
          <w:sz w:val="24"/>
          <w:szCs w:val="24"/>
          <w:lang w:eastAsia="el-GR"/>
        </w:rPr>
      </w:pPr>
      <w:r w:rsidRPr="00D34A4A">
        <w:rPr>
          <w:rFonts w:asciiTheme="minorHAnsi" w:eastAsia="Times New Roman" w:hAnsiTheme="minorHAnsi" w:cstheme="minorHAnsi"/>
          <w:sz w:val="24"/>
          <w:szCs w:val="24"/>
          <w:lang w:eastAsia="el-GR"/>
        </w:rPr>
        <w:t xml:space="preserve">Η </w:t>
      </w:r>
      <w:r w:rsidRPr="00D34A4A">
        <w:rPr>
          <w:rFonts w:asciiTheme="minorHAnsi" w:eastAsia="Times New Roman" w:hAnsiTheme="minorHAnsi" w:cstheme="minorHAnsi"/>
          <w:bCs/>
          <w:sz w:val="24"/>
          <w:szCs w:val="24"/>
          <w:lang w:eastAsia="el-GR"/>
        </w:rPr>
        <w:t>ΠΟΓΕΔΥ</w:t>
      </w:r>
      <w:r w:rsidRPr="00D34A4A">
        <w:rPr>
          <w:rFonts w:asciiTheme="minorHAnsi" w:eastAsia="Times New Roman" w:hAnsiTheme="minorHAnsi" w:cstheme="minorHAnsi"/>
          <w:sz w:val="24"/>
          <w:szCs w:val="24"/>
          <w:lang w:eastAsia="el-GR"/>
        </w:rPr>
        <w:t xml:space="preserve"> δεν προσωποποιεί τη συζήτηση ούτε υιοθετεί </w:t>
      </w:r>
      <w:proofErr w:type="spellStart"/>
      <w:r w:rsidRPr="00D34A4A">
        <w:rPr>
          <w:rFonts w:asciiTheme="minorHAnsi" w:eastAsia="Times New Roman" w:hAnsiTheme="minorHAnsi" w:cstheme="minorHAnsi"/>
          <w:sz w:val="24"/>
          <w:szCs w:val="24"/>
          <w:lang w:eastAsia="el-GR"/>
        </w:rPr>
        <w:t>καταγγελτικό</w:t>
      </w:r>
      <w:proofErr w:type="spellEnd"/>
      <w:r w:rsidRPr="00D34A4A">
        <w:rPr>
          <w:rFonts w:asciiTheme="minorHAnsi" w:eastAsia="Times New Roman" w:hAnsiTheme="minorHAnsi" w:cstheme="minorHAnsi"/>
          <w:sz w:val="24"/>
          <w:szCs w:val="24"/>
          <w:lang w:eastAsia="el-GR"/>
        </w:rPr>
        <w:t xml:space="preserve"> λόγο. Επισημαίνει, ωστόσο, ότι η εμπιστοσύνη των παραγωγών δεν μπορεί να αποκατασταθεί όσο παραμένει η εντύπωση πως οι ίδιοι μηχανισμοί επιρροής λειτουργούν σε κάθε φάση της αγροτικής πολιτικής, ανεξαρτήτως αλλαγών στο </w:t>
      </w:r>
      <w:r w:rsidRPr="00D34A4A">
        <w:rPr>
          <w:rFonts w:asciiTheme="minorHAnsi" w:eastAsia="Times New Roman" w:hAnsiTheme="minorHAnsi" w:cstheme="minorHAnsi"/>
          <w:bCs/>
          <w:sz w:val="24"/>
          <w:szCs w:val="24"/>
          <w:lang w:eastAsia="el-GR"/>
        </w:rPr>
        <w:t>Υπουργείο Αγροτικής Ανάπτυξης και Τροφίμων</w:t>
      </w:r>
      <w:r w:rsidRPr="00D34A4A">
        <w:rPr>
          <w:rFonts w:asciiTheme="minorHAnsi" w:eastAsia="Times New Roman" w:hAnsiTheme="minorHAnsi" w:cstheme="minorHAnsi"/>
          <w:sz w:val="24"/>
          <w:szCs w:val="24"/>
          <w:lang w:eastAsia="el-GR"/>
        </w:rPr>
        <w:t>.</w:t>
      </w:r>
    </w:p>
    <w:p w:rsidR="00D34A4A" w:rsidRPr="00D34A4A" w:rsidRDefault="00D34A4A" w:rsidP="00EF5AE3">
      <w:pPr>
        <w:pStyle w:val="Web"/>
        <w:spacing w:before="0" w:beforeAutospacing="0" w:after="60" w:afterAutospacing="0" w:line="264" w:lineRule="auto"/>
        <w:jc w:val="both"/>
        <w:rPr>
          <w:rFonts w:asciiTheme="minorHAnsi" w:hAnsiTheme="minorHAnsi" w:cstheme="minorHAnsi"/>
        </w:rPr>
      </w:pPr>
      <w:r>
        <w:rPr>
          <w:rFonts w:asciiTheme="minorHAnsi" w:hAnsiTheme="minorHAnsi" w:cstheme="minorHAnsi"/>
        </w:rPr>
        <w:t xml:space="preserve">Η </w:t>
      </w:r>
      <w:r w:rsidRPr="00D34A4A">
        <w:rPr>
          <w:rFonts w:asciiTheme="minorHAnsi" w:hAnsiTheme="minorHAnsi" w:cstheme="minorHAnsi"/>
        </w:rPr>
        <w:t>διαχείριση του αγροτικού χρέους και των ενισχύσεων δείχνουν ότι το πρόβλημα στον πρωτογενή τομέα δεν είναι συγκυριακό ούτε αφορά μεμονωμένες υποθέσεις. Αναδεικνύουν τη</w:t>
      </w:r>
      <w:r w:rsidR="00EF5AE3">
        <w:rPr>
          <w:rFonts w:asciiTheme="minorHAnsi" w:hAnsiTheme="minorHAnsi" w:cstheme="minorHAnsi"/>
        </w:rPr>
        <w:t xml:space="preserve">ν αναπαραγωγή ενός σταθερού </w:t>
      </w:r>
      <w:r w:rsidRPr="00D34A4A">
        <w:rPr>
          <w:rFonts w:asciiTheme="minorHAnsi" w:hAnsiTheme="minorHAnsi" w:cstheme="minorHAnsi"/>
        </w:rPr>
        <w:t>συστήματος επιρροής, που επανεμφανίζεται σε κάθε φάση της αγροτικής οικονομίας: από τις επιδοτήσεις, στον δανεισμό και από</w:t>
      </w:r>
      <w:r w:rsidR="00EF5AE3">
        <w:rPr>
          <w:rFonts w:asciiTheme="minorHAnsi" w:hAnsiTheme="minorHAnsi" w:cstheme="minorHAnsi"/>
        </w:rPr>
        <w:t xml:space="preserve"> εκεί στη διαχείριση του χρέους.</w:t>
      </w:r>
    </w:p>
    <w:p w:rsidR="00D34A4A" w:rsidRPr="00EF5AE3" w:rsidRDefault="00595B9B" w:rsidP="00EF5AE3">
      <w:pPr>
        <w:spacing w:after="60" w:line="264" w:lineRule="auto"/>
        <w:jc w:val="both"/>
        <w:rPr>
          <w:rFonts w:asciiTheme="minorHAnsi" w:eastAsia="Times New Roman" w:hAnsiTheme="minorHAnsi" w:cstheme="minorHAnsi"/>
          <w:sz w:val="24"/>
          <w:szCs w:val="24"/>
          <w:lang w:eastAsia="el-GR"/>
        </w:rPr>
      </w:pPr>
      <w:r>
        <w:rPr>
          <w:rFonts w:asciiTheme="minorHAnsi" w:eastAsia="Times New Roman" w:hAnsiTheme="minorHAnsi" w:cstheme="minorHAnsi"/>
          <w:sz w:val="24"/>
          <w:szCs w:val="24"/>
          <w:lang w:eastAsia="el-GR"/>
        </w:rPr>
        <w:t>Η</w:t>
      </w:r>
      <w:r w:rsidRPr="00595B9B">
        <w:rPr>
          <w:rFonts w:asciiTheme="minorHAnsi" w:eastAsia="Times New Roman" w:hAnsiTheme="minorHAnsi" w:cstheme="minorHAnsi"/>
          <w:sz w:val="24"/>
          <w:szCs w:val="24"/>
          <w:lang w:eastAsia="el-GR"/>
        </w:rPr>
        <w:t xml:space="preserve"> </w:t>
      </w:r>
      <w:r w:rsidR="00D34A4A" w:rsidRPr="00D34A4A">
        <w:rPr>
          <w:rFonts w:asciiTheme="minorHAnsi" w:eastAsia="Times New Roman" w:hAnsiTheme="minorHAnsi" w:cstheme="minorHAnsi"/>
          <w:sz w:val="24"/>
          <w:szCs w:val="24"/>
          <w:lang w:eastAsia="el-GR"/>
        </w:rPr>
        <w:t>βιωσιμότητα του πρωτογενούς τομέα δεν εξαρτάται μόνο από μέτρα στήριξης. Εξαρτάται από την πεποίθηση ότι το σύστημα λειτουργεί με ισονομία, διαφάνεια και θεσμική ουδετερότητα. Χωρίς αυτά, οι κρίσεις δεν επιλύονται· απλώς ανακυκλώνονται.</w:t>
      </w:r>
    </w:p>
    <w:p w:rsidR="00842E46" w:rsidRPr="00EF5AE3" w:rsidRDefault="001245AE" w:rsidP="00093D4D">
      <w:pPr>
        <w:ind w:left="6480" w:right="-193"/>
        <w:rPr>
          <w:rFonts w:ascii="Times New Roman" w:hAnsi="Times New Roman"/>
          <w:b/>
          <w:bCs/>
          <w:sz w:val="24"/>
          <w:szCs w:val="24"/>
        </w:rPr>
      </w:pPr>
      <w:r>
        <w:rPr>
          <w:rFonts w:ascii="Times New Roman" w:hAnsi="Times New Roman"/>
          <w:b/>
          <w:bCs/>
          <w:sz w:val="28"/>
          <w:szCs w:val="28"/>
        </w:rPr>
        <w:t xml:space="preserve">  </w:t>
      </w:r>
      <w:r w:rsidR="0056519E">
        <w:rPr>
          <w:rFonts w:ascii="Times New Roman" w:hAnsi="Times New Roman"/>
          <w:b/>
          <w:bCs/>
          <w:sz w:val="28"/>
          <w:szCs w:val="28"/>
        </w:rPr>
        <w:t xml:space="preserve">   </w:t>
      </w:r>
      <w:r w:rsidR="00842E46" w:rsidRPr="00EF5AE3">
        <w:rPr>
          <w:rFonts w:ascii="Times New Roman" w:hAnsi="Times New Roman"/>
          <w:b/>
          <w:bCs/>
          <w:sz w:val="24"/>
          <w:szCs w:val="24"/>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421594" cy="1266825"/>
            <wp:effectExtent l="19050" t="0" r="7156"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277" cy="1272780"/>
                    </a:xfrm>
                    <a:prstGeom prst="rect">
                      <a:avLst/>
                    </a:prstGeom>
                    <a:noFill/>
                    <a:ln>
                      <a:noFill/>
                    </a:ln>
                  </pic:spPr>
                </pic:pic>
              </a:graphicData>
            </a:graphic>
          </wp:inline>
        </w:drawing>
      </w:r>
    </w:p>
    <w:sectPr w:rsidR="00842E46" w:rsidRPr="00842E46" w:rsidSect="0056519E">
      <w:pgSz w:w="11906" w:h="16838"/>
      <w:pgMar w:top="568" w:right="849"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2">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4">
    <w:nsid w:val="58BA1074"/>
    <w:multiLevelType w:val="multilevel"/>
    <w:tmpl w:val="B180E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0"/>
  </w:num>
  <w:num w:numId="4">
    <w:abstractNumId w:val="11"/>
  </w:num>
  <w:num w:numId="5">
    <w:abstractNumId w:val="15"/>
  </w:num>
  <w:num w:numId="6">
    <w:abstractNumId w:val="13"/>
  </w:num>
  <w:num w:numId="7">
    <w:abstractNumId w:val="5"/>
  </w:num>
  <w:num w:numId="8">
    <w:abstractNumId w:val="12"/>
  </w:num>
  <w:num w:numId="9">
    <w:abstractNumId w:val="3"/>
  </w:num>
  <w:num w:numId="10">
    <w:abstractNumId w:val="17"/>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26E9A"/>
    <w:rsid w:val="00032A80"/>
    <w:rsid w:val="00037894"/>
    <w:rsid w:val="00044EBC"/>
    <w:rsid w:val="000607F4"/>
    <w:rsid w:val="000627A3"/>
    <w:rsid w:val="00072B5B"/>
    <w:rsid w:val="00084B19"/>
    <w:rsid w:val="00087CB3"/>
    <w:rsid w:val="00093D4D"/>
    <w:rsid w:val="00095B7C"/>
    <w:rsid w:val="000B170D"/>
    <w:rsid w:val="000B6288"/>
    <w:rsid w:val="000C7053"/>
    <w:rsid w:val="000D706D"/>
    <w:rsid w:val="000F0A9C"/>
    <w:rsid w:val="000F39E0"/>
    <w:rsid w:val="000F4F9C"/>
    <w:rsid w:val="00107239"/>
    <w:rsid w:val="0011039E"/>
    <w:rsid w:val="00113AA9"/>
    <w:rsid w:val="001245AE"/>
    <w:rsid w:val="00144D11"/>
    <w:rsid w:val="00150AA2"/>
    <w:rsid w:val="00167B46"/>
    <w:rsid w:val="001801F9"/>
    <w:rsid w:val="00180E82"/>
    <w:rsid w:val="00183624"/>
    <w:rsid w:val="00186A34"/>
    <w:rsid w:val="00193D93"/>
    <w:rsid w:val="001C3965"/>
    <w:rsid w:val="001C58C6"/>
    <w:rsid w:val="001D4992"/>
    <w:rsid w:val="001D70FB"/>
    <w:rsid w:val="001E2B23"/>
    <w:rsid w:val="001F1046"/>
    <w:rsid w:val="001F626C"/>
    <w:rsid w:val="002100BE"/>
    <w:rsid w:val="002146C0"/>
    <w:rsid w:val="0023184D"/>
    <w:rsid w:val="00243B9D"/>
    <w:rsid w:val="0027531B"/>
    <w:rsid w:val="002778C0"/>
    <w:rsid w:val="00287ED1"/>
    <w:rsid w:val="002B0CEE"/>
    <w:rsid w:val="002B294F"/>
    <w:rsid w:val="002E2101"/>
    <w:rsid w:val="002F6A6E"/>
    <w:rsid w:val="002F7514"/>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36D3B"/>
    <w:rsid w:val="00445A88"/>
    <w:rsid w:val="004460CE"/>
    <w:rsid w:val="00454FAC"/>
    <w:rsid w:val="00455915"/>
    <w:rsid w:val="00455ED4"/>
    <w:rsid w:val="00463C15"/>
    <w:rsid w:val="004859ED"/>
    <w:rsid w:val="00490F12"/>
    <w:rsid w:val="00491DD6"/>
    <w:rsid w:val="00497734"/>
    <w:rsid w:val="004A27D5"/>
    <w:rsid w:val="004B0A48"/>
    <w:rsid w:val="004B2B6C"/>
    <w:rsid w:val="004C60ED"/>
    <w:rsid w:val="005054EA"/>
    <w:rsid w:val="00513164"/>
    <w:rsid w:val="00513CEF"/>
    <w:rsid w:val="00543079"/>
    <w:rsid w:val="00563C34"/>
    <w:rsid w:val="0056519E"/>
    <w:rsid w:val="0057520D"/>
    <w:rsid w:val="00595B9B"/>
    <w:rsid w:val="005A44F1"/>
    <w:rsid w:val="005B2F89"/>
    <w:rsid w:val="005D323E"/>
    <w:rsid w:val="005E0A32"/>
    <w:rsid w:val="005E5003"/>
    <w:rsid w:val="005E52F3"/>
    <w:rsid w:val="005E670F"/>
    <w:rsid w:val="005F1CC2"/>
    <w:rsid w:val="0062468F"/>
    <w:rsid w:val="00630AB0"/>
    <w:rsid w:val="006357C9"/>
    <w:rsid w:val="006462F2"/>
    <w:rsid w:val="006507BF"/>
    <w:rsid w:val="006567DE"/>
    <w:rsid w:val="006579AF"/>
    <w:rsid w:val="006638C2"/>
    <w:rsid w:val="00665969"/>
    <w:rsid w:val="00666081"/>
    <w:rsid w:val="00671768"/>
    <w:rsid w:val="0068766C"/>
    <w:rsid w:val="00694C36"/>
    <w:rsid w:val="006A0B08"/>
    <w:rsid w:val="006A1712"/>
    <w:rsid w:val="006A1FFB"/>
    <w:rsid w:val="006B6888"/>
    <w:rsid w:val="006D01AF"/>
    <w:rsid w:val="006D11F3"/>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2A67"/>
    <w:rsid w:val="0081539C"/>
    <w:rsid w:val="008278C0"/>
    <w:rsid w:val="00835764"/>
    <w:rsid w:val="00842E46"/>
    <w:rsid w:val="00850CA4"/>
    <w:rsid w:val="00850FD7"/>
    <w:rsid w:val="008530C3"/>
    <w:rsid w:val="0085391A"/>
    <w:rsid w:val="0085510B"/>
    <w:rsid w:val="00855D5B"/>
    <w:rsid w:val="008577CD"/>
    <w:rsid w:val="00866852"/>
    <w:rsid w:val="008A650B"/>
    <w:rsid w:val="008B142B"/>
    <w:rsid w:val="008B5FBD"/>
    <w:rsid w:val="008B683E"/>
    <w:rsid w:val="008C415C"/>
    <w:rsid w:val="008D3BDD"/>
    <w:rsid w:val="008D429F"/>
    <w:rsid w:val="008F1460"/>
    <w:rsid w:val="008F2973"/>
    <w:rsid w:val="008F4B7A"/>
    <w:rsid w:val="0091249C"/>
    <w:rsid w:val="00934A88"/>
    <w:rsid w:val="00937ED3"/>
    <w:rsid w:val="00947421"/>
    <w:rsid w:val="009475B9"/>
    <w:rsid w:val="00947EF5"/>
    <w:rsid w:val="009647F7"/>
    <w:rsid w:val="00972571"/>
    <w:rsid w:val="00975546"/>
    <w:rsid w:val="0098242E"/>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08CF"/>
    <w:rsid w:val="00AA55AC"/>
    <w:rsid w:val="00AA5E08"/>
    <w:rsid w:val="00AB599F"/>
    <w:rsid w:val="00AE163F"/>
    <w:rsid w:val="00AE5E2B"/>
    <w:rsid w:val="00B01FB1"/>
    <w:rsid w:val="00B109A1"/>
    <w:rsid w:val="00B4263C"/>
    <w:rsid w:val="00B5059B"/>
    <w:rsid w:val="00B557DD"/>
    <w:rsid w:val="00B63E39"/>
    <w:rsid w:val="00B67672"/>
    <w:rsid w:val="00B82BF4"/>
    <w:rsid w:val="00B8463E"/>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34A4A"/>
    <w:rsid w:val="00D5463F"/>
    <w:rsid w:val="00D73CF7"/>
    <w:rsid w:val="00D90707"/>
    <w:rsid w:val="00D95012"/>
    <w:rsid w:val="00DD39FE"/>
    <w:rsid w:val="00DD5B52"/>
    <w:rsid w:val="00DE2ED7"/>
    <w:rsid w:val="00E00821"/>
    <w:rsid w:val="00E026ED"/>
    <w:rsid w:val="00E0329D"/>
    <w:rsid w:val="00E0693F"/>
    <w:rsid w:val="00E26B4E"/>
    <w:rsid w:val="00E41ADB"/>
    <w:rsid w:val="00E42092"/>
    <w:rsid w:val="00E44D22"/>
    <w:rsid w:val="00E528F3"/>
    <w:rsid w:val="00E622C9"/>
    <w:rsid w:val="00E629D3"/>
    <w:rsid w:val="00E65076"/>
    <w:rsid w:val="00E67ED8"/>
    <w:rsid w:val="00E701AC"/>
    <w:rsid w:val="00E818D3"/>
    <w:rsid w:val="00E948B2"/>
    <w:rsid w:val="00EA1E18"/>
    <w:rsid w:val="00EA3502"/>
    <w:rsid w:val="00EB7A35"/>
    <w:rsid w:val="00EE6A8D"/>
    <w:rsid w:val="00EF5AE3"/>
    <w:rsid w:val="00F0652F"/>
    <w:rsid w:val="00F13E57"/>
    <w:rsid w:val="00F148B0"/>
    <w:rsid w:val="00F15586"/>
    <w:rsid w:val="00F22062"/>
    <w:rsid w:val="00F31565"/>
    <w:rsid w:val="00F55F39"/>
    <w:rsid w:val="00F77125"/>
    <w:rsid w:val="00F81421"/>
    <w:rsid w:val="00F83DB9"/>
    <w:rsid w:val="00F908DB"/>
    <w:rsid w:val="00FA6177"/>
    <w:rsid w:val="00FD14FA"/>
    <w:rsid w:val="00FD6DFF"/>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04098076">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99590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065250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 w:id="2114205313">
      <w:bodyDiv w:val="1"/>
      <w:marLeft w:val="0"/>
      <w:marRight w:val="0"/>
      <w:marTop w:val="0"/>
      <w:marBottom w:val="0"/>
      <w:divBdr>
        <w:top w:val="none" w:sz="0" w:space="0" w:color="auto"/>
        <w:left w:val="none" w:sz="0" w:space="0" w:color="auto"/>
        <w:bottom w:val="none" w:sz="0" w:space="0" w:color="auto"/>
        <w:right w:val="none" w:sz="0" w:space="0" w:color="auto"/>
      </w:divBdr>
    </w:div>
    <w:div w:id="211976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F4638-0AB1-4A1E-876D-B21D65B49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439</Words>
  <Characters>2376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UserPC</cp:lastModifiedBy>
  <cp:revision>19</cp:revision>
  <cp:lastPrinted>2022-11-28T09:18:00Z</cp:lastPrinted>
  <dcterms:created xsi:type="dcterms:W3CDTF">2026-02-11T08:42:00Z</dcterms:created>
  <dcterms:modified xsi:type="dcterms:W3CDTF">2026-02-24T10:52:00Z</dcterms:modified>
</cp:coreProperties>
</file>