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2F7514" w:rsidRDefault="002F7514" w:rsidP="00F908DB">
      <w:pPr>
        <w:ind w:left="5760" w:firstLine="720"/>
        <w:jc w:val="both"/>
        <w:rPr>
          <w:rFonts w:ascii="Times New Roman" w:eastAsia="Times New Roman" w:hAnsi="Times New Roman"/>
          <w:b/>
          <w:bCs/>
          <w:sz w:val="28"/>
          <w:szCs w:val="28"/>
        </w:rPr>
      </w:pPr>
    </w:p>
    <w:p w:rsidR="00513164" w:rsidRPr="00513164" w:rsidRDefault="00AE5E2B" w:rsidP="00F908DB">
      <w:pPr>
        <w:ind w:left="5760" w:firstLine="720"/>
        <w:jc w:val="both"/>
        <w:rPr>
          <w:rFonts w:ascii="Times New Roman" w:eastAsia="Times New Roman" w:hAnsi="Times New Roman"/>
          <w:b/>
          <w:bCs/>
          <w:sz w:val="28"/>
          <w:szCs w:val="28"/>
        </w:rPr>
      </w:pPr>
      <w:r w:rsidRPr="00AE5E2B">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F908DB">
        <w:rPr>
          <w:rFonts w:ascii="Times New Roman" w:eastAsia="Times New Roman" w:hAnsi="Times New Roman"/>
          <w:b/>
          <w:bCs/>
          <w:sz w:val="28"/>
          <w:szCs w:val="28"/>
        </w:rPr>
        <w:t>Αθήνα</w:t>
      </w:r>
      <w:r w:rsidR="0098242E">
        <w:rPr>
          <w:rFonts w:ascii="Times New Roman" w:eastAsia="Times New Roman" w:hAnsi="Times New Roman"/>
          <w:b/>
          <w:bCs/>
          <w:sz w:val="28"/>
          <w:szCs w:val="28"/>
        </w:rPr>
        <w:t xml:space="preserve"> </w:t>
      </w:r>
      <w:r w:rsidR="00287ED1">
        <w:rPr>
          <w:rFonts w:ascii="Times New Roman" w:eastAsia="Times New Roman" w:hAnsi="Times New Roman"/>
          <w:b/>
          <w:bCs/>
          <w:sz w:val="28"/>
          <w:szCs w:val="28"/>
        </w:rPr>
        <w:t>1</w:t>
      </w:r>
      <w:r w:rsidR="00497734">
        <w:rPr>
          <w:rFonts w:ascii="Times New Roman" w:eastAsia="Times New Roman" w:hAnsi="Times New Roman"/>
          <w:b/>
          <w:bCs/>
          <w:sz w:val="28"/>
          <w:szCs w:val="28"/>
          <w:lang w:val="en-US"/>
        </w:rPr>
        <w:t>8</w:t>
      </w:r>
      <w:r w:rsidR="002F7514">
        <w:rPr>
          <w:rFonts w:ascii="Times New Roman" w:eastAsia="Times New Roman" w:hAnsi="Times New Roman"/>
          <w:b/>
          <w:bCs/>
          <w:sz w:val="28"/>
          <w:szCs w:val="28"/>
        </w:rPr>
        <w:t>-</w:t>
      </w:r>
      <w:r w:rsidR="001245AE">
        <w:rPr>
          <w:rFonts w:ascii="Times New Roman" w:eastAsia="Times New Roman" w:hAnsi="Times New Roman"/>
          <w:b/>
          <w:bCs/>
          <w:sz w:val="28"/>
          <w:szCs w:val="28"/>
        </w:rPr>
        <w:t>0</w:t>
      </w:r>
      <w:r w:rsidR="002F7514">
        <w:rPr>
          <w:rFonts w:ascii="Times New Roman" w:eastAsia="Times New Roman" w:hAnsi="Times New Roman"/>
          <w:b/>
          <w:bCs/>
          <w:sz w:val="28"/>
          <w:szCs w:val="28"/>
        </w:rPr>
        <w:t>2</w:t>
      </w:r>
      <w:r w:rsidR="00513164" w:rsidRPr="00513164">
        <w:rPr>
          <w:rFonts w:ascii="Times New Roman" w:eastAsia="Times New Roman" w:hAnsi="Times New Roman"/>
          <w:b/>
          <w:bCs/>
          <w:sz w:val="28"/>
          <w:szCs w:val="28"/>
        </w:rPr>
        <w:t>-202</w:t>
      </w:r>
      <w:r w:rsidR="002F7514">
        <w:rPr>
          <w:rFonts w:ascii="Times New Roman" w:eastAsia="Times New Roman" w:hAnsi="Times New Roman"/>
          <w:b/>
          <w:bCs/>
          <w:sz w:val="28"/>
          <w:szCs w:val="28"/>
        </w:rPr>
        <w:t>6</w:t>
      </w:r>
    </w:p>
    <w:p w:rsidR="002F7514" w:rsidRPr="00AE5E2B" w:rsidRDefault="00513164" w:rsidP="00287ED1">
      <w:pPr>
        <w:ind w:left="2880" w:firstLine="720"/>
        <w:jc w:val="both"/>
        <w:rPr>
          <w:rFonts w:ascii="Times New Roman" w:eastAsia="Times New Roman" w:hAnsi="Times New Roman"/>
          <w:b/>
          <w:bCs/>
          <w:sz w:val="28"/>
          <w:szCs w:val="28"/>
        </w:rPr>
      </w:pPr>
      <w:r w:rsidRPr="00513164">
        <w:rPr>
          <w:rFonts w:ascii="Times New Roman" w:eastAsia="Times New Roman" w:hAnsi="Times New Roman"/>
          <w:b/>
          <w:bCs/>
          <w:sz w:val="28"/>
          <w:szCs w:val="28"/>
        </w:rPr>
        <w:t>ΔΕΛΤΙΟ ΤΥΠΟΥ</w:t>
      </w:r>
    </w:p>
    <w:p w:rsidR="00497734" w:rsidRPr="00497734" w:rsidRDefault="00497734" w:rsidP="00497734">
      <w:pPr>
        <w:shd w:val="clear" w:color="auto" w:fill="FFFFFF"/>
        <w:spacing w:after="160" w:line="235" w:lineRule="atLeast"/>
        <w:ind w:firstLine="142"/>
        <w:jc w:val="center"/>
        <w:rPr>
          <w:rFonts w:cs="Calibri"/>
          <w:b/>
          <w:bCs/>
          <w:color w:val="222222"/>
          <w:sz w:val="28"/>
          <w:szCs w:val="28"/>
          <w:shd w:val="clear" w:color="auto" w:fill="FFFFFF"/>
        </w:rPr>
      </w:pPr>
      <w:r w:rsidRPr="00497734">
        <w:rPr>
          <w:rFonts w:cs="Calibri"/>
          <w:b/>
          <w:bCs/>
          <w:color w:val="222222"/>
          <w:sz w:val="28"/>
          <w:szCs w:val="28"/>
          <w:shd w:val="clear" w:color="auto" w:fill="FFFFFF"/>
        </w:rPr>
        <w:t xml:space="preserve">Το </w:t>
      </w:r>
      <w:proofErr w:type="spellStart"/>
      <w:r w:rsidRPr="00497734">
        <w:rPr>
          <w:rFonts w:cs="Calibri"/>
          <w:b/>
          <w:bCs/>
          <w:color w:val="222222"/>
          <w:sz w:val="28"/>
          <w:szCs w:val="28"/>
          <w:shd w:val="clear" w:color="auto" w:fill="FFFFFF"/>
        </w:rPr>
        <w:t>τανγκό</w:t>
      </w:r>
      <w:proofErr w:type="spellEnd"/>
      <w:r w:rsidRPr="00497734">
        <w:rPr>
          <w:rFonts w:cs="Calibri"/>
          <w:b/>
          <w:bCs/>
          <w:color w:val="222222"/>
          <w:sz w:val="28"/>
          <w:szCs w:val="28"/>
          <w:shd w:val="clear" w:color="auto" w:fill="FFFFFF"/>
        </w:rPr>
        <w:t xml:space="preserve"> των εκατομμυρίων: Ποιοι χορεύουν μαζί;</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Η ΠΟΓΕΔΥ παρακολουθεί με ιδιαίτερη ανησυχία τα στοιχεία που έρχονται στο φως της δημοσιότητας σχετικά με την κατανομή των προγραμμάτων κατάρτισης της Δημόσιας Υπηρεσίας Απασχόλησης (ΔΥΠΑ) κατά την προηγούμενη περίοδο διοίκησής της.</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Τα οικονομικά δεδομένα που έχουν δημοσιευθεί καταδεικνύουν εξαιρετικά υψηλή συγκέντρωση δημόσιων πόρων σε περιορισμένο αριθμό εταιρειών, με ποσοστά που παραπέμπουν σε ολιγοπωλιακή δομή αγοράς, καθώς και εκρηκτική αύξηση κύκλου εργασιών συγκεκριμένων παρόχων μετά το 2018, η οποία δεν μπορεί να ερμηνευθεί ως φυσιολογική αναπτυξιακή εξέλιξη της αγοράς αλλά συνδέεται ευθέως με τη ροή δημόσιας χρηματοδότησης.</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Τα παραπάνω, ανεξαρτήτως νομικής αξιολόγησης, εγείρουν σοβαρότατα πολιτικά και θεσμικά ερωτήματα για το μοντέλο κατανομής των πόρων της κατάρτισης, σε μια περίοδο κατά την οποία επικεφαλής της ΔΥΠΑ ήταν ο σημερινός Γενικός Γραμματέας του Υπουργείου Αγροτικής Ανάπτυξης και Τροφίμων. Όταν η διαχείριση εκατοντάδων εκατομμυρίων ευρώ συμπίπτει με υπερσυγκέντρωση σε λίγους παρόχους, η πολιτική ευθύνη δεν μπορεί να αγνοείται ούτε να μετατίθεται.</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Την ίδια περίοδο, ιδιαίτερο ενδιαφέρον αποκτά η υπόθεση έργου κατάρτισης ύψους περίπου 6 εκατ. ευρώ που αποδόθηκε στο ΓΕΩΤΕΕ, με πληροφορίες να κάνουν λόγο για έναν και μοναδικό υποψήφιο, ο οποίος και παρείχε σχεδόν μηδενική έκπτωση. Η μηδενική έκπτωση δεν είναι παράνομη από μόνη της. Όμως, σε δημόσιο έργο τέτοιου ύψους, η απουσία ουσιαστικού ανταγωνισμού και η απόλυτη ταύτιση με τον προϋπολογισμό δημιουργούν εύλογες υπόνοιες για τον τρόπο σχεδιασμού και υλοποίησης της διαδικασίας και απαιτούν πλήρη δημοσιοποίηση όλων των στοιχείων.</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 xml:space="preserve">Σήμερα, μόνον ως σύμπτωση δεν μπορεί να εκληφθεί το γεγονός ότι ο τότε επικεφαλής της ΔΥΠΑ κατέχει κορυφαία θέση στο ΥπΑΑΤ, ο τότε Πρόεδρος του ΓΕΩΤΕΕ είναι πλέον Πρόεδρος του ΕΛΓΟ ΔΗΜΗΤΡΑ, ενώ η πολιτική επιρροή του Αντιπροέδρου της Κυβέρνησης – υπό την εποπτεία του οποίου φέρεται να εξελίχθηκε το συγκεκριμένο μοντέλο διαχείρισης – παραμένει καθοριστική στις υποθέσεις του ΥπΑΑΤ. Όταν τα ίδια πρόσωπα ή πολιτικά συνδεδεμένοι παράγοντες </w:t>
      </w:r>
      <w:r w:rsidRPr="00497734">
        <w:rPr>
          <w:rFonts w:eastAsia="Times New Roman" w:cs="Calibri"/>
          <w:color w:val="222222"/>
          <w:sz w:val="28"/>
          <w:szCs w:val="28"/>
          <w:lang w:eastAsia="el-GR"/>
        </w:rPr>
        <w:lastRenderedPageBreak/>
        <w:t>διακινούνται σε κομβικούς θεσμούς που διαχειρίζονται δημόσιους πόρους, η κοινωνία δικαιούται καθαρές απαντήσεις.</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 xml:space="preserve">Η ΠΟΓΕΔΥ δεν προδικάζει ευθύνες. Όμως η λογοδοσία στις δημοκρατίες δεν ενεργοποιείται μόνο μετά από ποινικές διώξεις. </w:t>
      </w:r>
      <w:r w:rsidR="005E5003" w:rsidRPr="00497734">
        <w:rPr>
          <w:rFonts w:eastAsia="Times New Roman" w:cs="Calibri"/>
          <w:color w:val="222222"/>
          <w:sz w:val="28"/>
          <w:szCs w:val="28"/>
          <w:lang w:eastAsia="el-GR"/>
        </w:rPr>
        <w:t>Ενεργοποιείται</w:t>
      </w:r>
      <w:r w:rsidRPr="00497734">
        <w:rPr>
          <w:rFonts w:eastAsia="Times New Roman" w:cs="Calibri"/>
          <w:color w:val="222222"/>
          <w:sz w:val="28"/>
          <w:szCs w:val="28"/>
          <w:lang w:eastAsia="el-GR"/>
        </w:rPr>
        <w:t xml:space="preserve"> όταν προκύπτουν ισχυρές πολιτικές ενδείξεις συγκέντρωσης ισχύος και πόρων. Η δημόσια διοίκηση οφείλει να λειτουργεί με τρόπο που να μην αφήνει ούτε ίχνος υπόνοιας συστημικής εύνοιας ή κλειστού κυκλώματος κατανομής πόρων. Η διαφάνεια είναι ο μόνος τρόπος να δοθεί καθαρή απάντηση.</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Η ΠΟΓΕΔΥ ζητά από το ΓΕΩΤΕΕ να ρίξει άπλετο φως στην υπόθεση των 6 εκατ. ευρώ, δημοσιοποιώντας άμεσα τη διαδικασία προκήρυξης, τον αριθμό συμμετεχόντων, την τεχνική και οικονομική αξιολόγηση, τα πρακτικά των επιτροπών, το ποσοστό υλοποίησης του έργου και κάθε σχετικό στοιχείο.</w:t>
      </w:r>
    </w:p>
    <w:p w:rsidR="00497734" w:rsidRPr="00497734" w:rsidRDefault="00497734" w:rsidP="00497734">
      <w:pPr>
        <w:shd w:val="clear" w:color="auto" w:fill="FFFFFF"/>
        <w:spacing w:after="160" w:line="235" w:lineRule="atLeast"/>
        <w:ind w:firstLine="142"/>
        <w:jc w:val="both"/>
        <w:rPr>
          <w:rFonts w:eastAsia="Times New Roman" w:cs="Calibri"/>
          <w:color w:val="222222"/>
          <w:sz w:val="28"/>
          <w:szCs w:val="28"/>
          <w:lang w:eastAsia="el-GR"/>
        </w:rPr>
      </w:pPr>
      <w:r w:rsidRPr="00497734">
        <w:rPr>
          <w:rFonts w:eastAsia="Times New Roman" w:cs="Calibri"/>
          <w:color w:val="222222"/>
          <w:sz w:val="28"/>
          <w:szCs w:val="28"/>
          <w:lang w:eastAsia="el-GR"/>
        </w:rPr>
        <w:t>Η διαχείριση ευρωπαϊκών και εθνικών πόρων δεν μπορεί να αφήνει σκιές, ιδίως σε περίοδο που η κοινωνία δοκιμάζεται και ο πρωτογενής τομέας ζητά στήριξη με διαφάνεια και αξιοκρατία. Η εμπιστοσύνη στους θεσμούς δεν διακηρύσσεται. Αποδεικνύεται με στοιχεία, όχι με σιωπή.</w:t>
      </w:r>
    </w:p>
    <w:p w:rsidR="00842E46" w:rsidRPr="003F3A97" w:rsidRDefault="001245AE" w:rsidP="00093D4D">
      <w:pPr>
        <w:ind w:left="6480" w:right="-193"/>
        <w:rPr>
          <w:rFonts w:ascii="Times New Roman" w:hAnsi="Times New Roman"/>
          <w:b/>
          <w:bCs/>
          <w:sz w:val="28"/>
          <w:szCs w:val="28"/>
        </w:rPr>
      </w:pPr>
      <w:r>
        <w:rPr>
          <w:rFonts w:ascii="Times New Roman" w:hAnsi="Times New Roman"/>
          <w:b/>
          <w:bCs/>
          <w:sz w:val="28"/>
          <w:szCs w:val="28"/>
        </w:rPr>
        <w:t xml:space="preserve">  </w:t>
      </w:r>
      <w:r w:rsidR="00842E46" w:rsidRPr="003F3A97">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613991" cy="1438275"/>
            <wp:effectExtent l="19050" t="0" r="5259"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1807" cy="1445240"/>
                    </a:xfrm>
                    <a:prstGeom prst="rect">
                      <a:avLst/>
                    </a:prstGeom>
                    <a:noFill/>
                    <a:ln>
                      <a:noFill/>
                    </a:ln>
                  </pic:spPr>
                </pic:pic>
              </a:graphicData>
            </a:graphic>
          </wp:inline>
        </w:drawing>
      </w:r>
    </w:p>
    <w:sectPr w:rsidR="00842E46" w:rsidRPr="00842E46" w:rsidSect="00F77125">
      <w:pgSz w:w="11906" w:h="16838"/>
      <w:pgMar w:top="993" w:right="991"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5">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5"/>
  </w:num>
  <w:num w:numId="3">
    <w:abstractNumId w:val="10"/>
  </w:num>
  <w:num w:numId="4">
    <w:abstractNumId w:val="11"/>
  </w:num>
  <w:num w:numId="5">
    <w:abstractNumId w:val="14"/>
  </w:num>
  <w:num w:numId="6">
    <w:abstractNumId w:val="13"/>
  </w:num>
  <w:num w:numId="7">
    <w:abstractNumId w:val="5"/>
  </w:num>
  <w:num w:numId="8">
    <w:abstractNumId w:val="12"/>
  </w:num>
  <w:num w:numId="9">
    <w:abstractNumId w:val="3"/>
  </w:num>
  <w:num w:numId="10">
    <w:abstractNumId w:val="16"/>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2A80"/>
    <w:rsid w:val="00037894"/>
    <w:rsid w:val="00044EBC"/>
    <w:rsid w:val="000607F4"/>
    <w:rsid w:val="000627A3"/>
    <w:rsid w:val="00072B5B"/>
    <w:rsid w:val="00084B19"/>
    <w:rsid w:val="00087CB3"/>
    <w:rsid w:val="00093D4D"/>
    <w:rsid w:val="00095B7C"/>
    <w:rsid w:val="000B170D"/>
    <w:rsid w:val="000B6288"/>
    <w:rsid w:val="000C7053"/>
    <w:rsid w:val="000D706D"/>
    <w:rsid w:val="000F0A9C"/>
    <w:rsid w:val="000F39E0"/>
    <w:rsid w:val="000F4F9C"/>
    <w:rsid w:val="00107239"/>
    <w:rsid w:val="0011039E"/>
    <w:rsid w:val="00113AA9"/>
    <w:rsid w:val="001245AE"/>
    <w:rsid w:val="00144D11"/>
    <w:rsid w:val="00150AA2"/>
    <w:rsid w:val="00167B46"/>
    <w:rsid w:val="001801F9"/>
    <w:rsid w:val="00180E82"/>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78C0"/>
    <w:rsid w:val="00287ED1"/>
    <w:rsid w:val="002B0CEE"/>
    <w:rsid w:val="002E2101"/>
    <w:rsid w:val="002F6A6E"/>
    <w:rsid w:val="002F7514"/>
    <w:rsid w:val="0031532B"/>
    <w:rsid w:val="00316345"/>
    <w:rsid w:val="00322FF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36D3B"/>
    <w:rsid w:val="00445A88"/>
    <w:rsid w:val="004460CE"/>
    <w:rsid w:val="00454FAC"/>
    <w:rsid w:val="00455915"/>
    <w:rsid w:val="00455ED4"/>
    <w:rsid w:val="00463C15"/>
    <w:rsid w:val="00490F12"/>
    <w:rsid w:val="00491DD6"/>
    <w:rsid w:val="00497734"/>
    <w:rsid w:val="004A27D5"/>
    <w:rsid w:val="004B0A48"/>
    <w:rsid w:val="004B2B6C"/>
    <w:rsid w:val="004C60ED"/>
    <w:rsid w:val="005054EA"/>
    <w:rsid w:val="00513164"/>
    <w:rsid w:val="00513CEF"/>
    <w:rsid w:val="00543079"/>
    <w:rsid w:val="00563C34"/>
    <w:rsid w:val="0057520D"/>
    <w:rsid w:val="005A44F1"/>
    <w:rsid w:val="005B2F89"/>
    <w:rsid w:val="005D323E"/>
    <w:rsid w:val="005E0A32"/>
    <w:rsid w:val="005E5003"/>
    <w:rsid w:val="005E52F3"/>
    <w:rsid w:val="005E670F"/>
    <w:rsid w:val="005F1CC2"/>
    <w:rsid w:val="0062468F"/>
    <w:rsid w:val="00630AB0"/>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391A"/>
    <w:rsid w:val="0085510B"/>
    <w:rsid w:val="00855D5B"/>
    <w:rsid w:val="008577CD"/>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08CF"/>
    <w:rsid w:val="00AA55AC"/>
    <w:rsid w:val="00AA5E08"/>
    <w:rsid w:val="00AB599F"/>
    <w:rsid w:val="00AE163F"/>
    <w:rsid w:val="00AE5E2B"/>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0693F"/>
    <w:rsid w:val="00E26B4E"/>
    <w:rsid w:val="00E41ADB"/>
    <w:rsid w:val="00E42092"/>
    <w:rsid w:val="00E44D22"/>
    <w:rsid w:val="00E528F3"/>
    <w:rsid w:val="00E622C9"/>
    <w:rsid w:val="00E629D3"/>
    <w:rsid w:val="00E65076"/>
    <w:rsid w:val="00E67ED8"/>
    <w:rsid w:val="00E701AC"/>
    <w:rsid w:val="00E818D3"/>
    <w:rsid w:val="00E948B2"/>
    <w:rsid w:val="00EA1E18"/>
    <w:rsid w:val="00EA3502"/>
    <w:rsid w:val="00EB7A35"/>
    <w:rsid w:val="00EE6A8D"/>
    <w:rsid w:val="00F0652F"/>
    <w:rsid w:val="00F13E57"/>
    <w:rsid w:val="00F148B0"/>
    <w:rsid w:val="00F15586"/>
    <w:rsid w:val="00F22062"/>
    <w:rsid w:val="00F31565"/>
    <w:rsid w:val="00F55F39"/>
    <w:rsid w:val="00F77125"/>
    <w:rsid w:val="00F81421"/>
    <w:rsid w:val="00F83DB9"/>
    <w:rsid w:val="00F908DB"/>
    <w:rsid w:val="00FA6177"/>
    <w:rsid w:val="00FD14FA"/>
    <w:rsid w:val="00FD6DFF"/>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065250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4205313">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541</Words>
  <Characters>2927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13</cp:revision>
  <cp:lastPrinted>2022-11-28T09:18:00Z</cp:lastPrinted>
  <dcterms:created xsi:type="dcterms:W3CDTF">2026-02-11T08:42:00Z</dcterms:created>
  <dcterms:modified xsi:type="dcterms:W3CDTF">2026-02-18T05:49:00Z</dcterms:modified>
</cp:coreProperties>
</file>