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2F7514" w:rsidRDefault="002F7514" w:rsidP="00F908DB">
      <w:pPr>
        <w:ind w:left="5760" w:firstLine="720"/>
        <w:jc w:val="both"/>
        <w:rPr>
          <w:rFonts w:ascii="Times New Roman" w:eastAsia="Times New Roman" w:hAnsi="Times New Roman"/>
          <w:b/>
          <w:bCs/>
          <w:sz w:val="28"/>
          <w:szCs w:val="28"/>
        </w:rPr>
      </w:pPr>
    </w:p>
    <w:p w:rsidR="00513164" w:rsidRPr="00513164" w:rsidRDefault="00AE5E2B" w:rsidP="00F908DB">
      <w:pPr>
        <w:ind w:left="5760" w:firstLine="720"/>
        <w:jc w:val="both"/>
        <w:rPr>
          <w:rFonts w:ascii="Times New Roman" w:eastAsia="Times New Roman" w:hAnsi="Times New Roman"/>
          <w:b/>
          <w:bCs/>
          <w:sz w:val="28"/>
          <w:szCs w:val="28"/>
        </w:rPr>
      </w:pPr>
      <w:r w:rsidRPr="00AE5E2B">
        <w:rPr>
          <w:rFonts w:ascii="Times New Roman" w:eastAsia="Times New Roman" w:hAnsi="Times New Roman"/>
          <w:b/>
          <w:bCs/>
          <w:sz w:val="28"/>
          <w:szCs w:val="28"/>
        </w:rPr>
        <w:t xml:space="preserve"> </w:t>
      </w:r>
      <w:r>
        <w:rPr>
          <w:rFonts w:ascii="Times New Roman" w:eastAsia="Times New Roman" w:hAnsi="Times New Roman"/>
          <w:b/>
          <w:bCs/>
          <w:sz w:val="28"/>
          <w:szCs w:val="28"/>
          <w:lang w:val="en-US"/>
        </w:rPr>
        <w:t xml:space="preserve">             </w:t>
      </w:r>
      <w:r w:rsidR="00F908DB">
        <w:rPr>
          <w:rFonts w:ascii="Times New Roman" w:eastAsia="Times New Roman" w:hAnsi="Times New Roman"/>
          <w:b/>
          <w:bCs/>
          <w:sz w:val="28"/>
          <w:szCs w:val="28"/>
        </w:rPr>
        <w:t>Αθήνα</w:t>
      </w:r>
      <w:r w:rsidR="0098242E">
        <w:rPr>
          <w:rFonts w:ascii="Times New Roman" w:eastAsia="Times New Roman" w:hAnsi="Times New Roman"/>
          <w:b/>
          <w:bCs/>
          <w:sz w:val="28"/>
          <w:szCs w:val="28"/>
        </w:rPr>
        <w:t xml:space="preserve"> </w:t>
      </w:r>
      <w:r w:rsidR="00287ED1">
        <w:rPr>
          <w:rFonts w:ascii="Times New Roman" w:eastAsia="Times New Roman" w:hAnsi="Times New Roman"/>
          <w:b/>
          <w:bCs/>
          <w:sz w:val="28"/>
          <w:szCs w:val="28"/>
        </w:rPr>
        <w:t>1</w:t>
      </w:r>
      <w:r w:rsidR="00287ED1">
        <w:rPr>
          <w:rFonts w:ascii="Times New Roman" w:eastAsia="Times New Roman" w:hAnsi="Times New Roman"/>
          <w:b/>
          <w:bCs/>
          <w:sz w:val="28"/>
          <w:szCs w:val="28"/>
          <w:lang w:val="en-US"/>
        </w:rPr>
        <w:t>6</w:t>
      </w:r>
      <w:r w:rsidR="002F7514">
        <w:rPr>
          <w:rFonts w:ascii="Times New Roman" w:eastAsia="Times New Roman" w:hAnsi="Times New Roman"/>
          <w:b/>
          <w:bCs/>
          <w:sz w:val="28"/>
          <w:szCs w:val="28"/>
        </w:rPr>
        <w:t>-2</w:t>
      </w:r>
      <w:r w:rsidR="00513164" w:rsidRPr="00513164">
        <w:rPr>
          <w:rFonts w:ascii="Times New Roman" w:eastAsia="Times New Roman" w:hAnsi="Times New Roman"/>
          <w:b/>
          <w:bCs/>
          <w:sz w:val="28"/>
          <w:szCs w:val="28"/>
        </w:rPr>
        <w:t>-202</w:t>
      </w:r>
      <w:r w:rsidR="002F7514">
        <w:rPr>
          <w:rFonts w:ascii="Times New Roman" w:eastAsia="Times New Roman" w:hAnsi="Times New Roman"/>
          <w:b/>
          <w:bCs/>
          <w:sz w:val="28"/>
          <w:szCs w:val="28"/>
        </w:rPr>
        <w:t>6</w:t>
      </w:r>
    </w:p>
    <w:p w:rsidR="002F7514" w:rsidRPr="00AE5E2B" w:rsidRDefault="00513164" w:rsidP="00287ED1">
      <w:pPr>
        <w:ind w:left="2880" w:firstLine="720"/>
        <w:jc w:val="both"/>
        <w:rPr>
          <w:rFonts w:ascii="Times New Roman" w:eastAsia="Times New Roman" w:hAnsi="Times New Roman"/>
          <w:b/>
          <w:bCs/>
          <w:sz w:val="28"/>
          <w:szCs w:val="28"/>
        </w:rPr>
      </w:pPr>
      <w:r w:rsidRPr="00513164">
        <w:rPr>
          <w:rFonts w:ascii="Times New Roman" w:eastAsia="Times New Roman" w:hAnsi="Times New Roman"/>
          <w:b/>
          <w:bCs/>
          <w:sz w:val="28"/>
          <w:szCs w:val="28"/>
        </w:rPr>
        <w:t>ΔΕΛΤΙΟ ΤΥΠΟΥ</w:t>
      </w:r>
    </w:p>
    <w:p w:rsidR="00287ED1" w:rsidRPr="00AE5E2B" w:rsidRDefault="00287ED1" w:rsidP="00287ED1">
      <w:pPr>
        <w:shd w:val="clear" w:color="auto" w:fill="FFFFFF"/>
        <w:spacing w:after="160" w:line="235" w:lineRule="atLeast"/>
        <w:ind w:firstLine="284"/>
        <w:jc w:val="center"/>
        <w:rPr>
          <w:rFonts w:eastAsia="Times New Roman" w:cs="Calibri"/>
          <w:b/>
          <w:bCs/>
          <w:color w:val="222222"/>
          <w:sz w:val="28"/>
          <w:szCs w:val="28"/>
          <w:lang w:eastAsia="el-GR"/>
        </w:rPr>
      </w:pPr>
      <w:r w:rsidRPr="00287ED1">
        <w:rPr>
          <w:rFonts w:eastAsia="Times New Roman" w:cs="Calibri"/>
          <w:b/>
          <w:bCs/>
          <w:color w:val="222222"/>
          <w:sz w:val="28"/>
          <w:szCs w:val="28"/>
          <w:lang w:eastAsia="el-GR"/>
        </w:rPr>
        <w:t>Το αφήγημα της ΑΑΔΕ δεν απαντά στα κρίσιμα ερωτήματα</w:t>
      </w:r>
    </w:p>
    <w:p w:rsidR="00287ED1" w:rsidRPr="00AE5E2B" w:rsidRDefault="00287ED1" w:rsidP="00287ED1">
      <w:pPr>
        <w:shd w:val="clear" w:color="auto" w:fill="FFFFFF"/>
        <w:spacing w:after="160" w:line="235" w:lineRule="atLeast"/>
        <w:ind w:firstLine="284"/>
        <w:jc w:val="center"/>
        <w:rPr>
          <w:rFonts w:eastAsia="Times New Roman" w:cs="Calibri"/>
          <w:color w:val="222222"/>
          <w:sz w:val="28"/>
          <w:szCs w:val="28"/>
          <w:lang w:eastAsia="el-GR"/>
        </w:rPr>
      </w:pP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Η πρόσφατη ανακοίνωση της ΑΑΔΕ επιχειρεί να βάλει τελεία στη δημόσια συζήτηση για τις κατανομές βοσκοτόπων και τις σχετικές πληρωμές, διαβεβαιώνοντας ότι «δεν υπάρχουν κτηνοτρόφοι που πληρώθηκαν χωρίς δραστηριότητα». Το ζήτημα, όμως, δεν κλείνει με μια διαβεβαίωση. Κλείνει με στοιχεία.</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 xml:space="preserve">Η ανακοίνωση δεν απαντά στα κρίσιμα ερωτήματα που έχουν τεθεί. Δεν δημοσιοποιεί αναλυτικά δεδομένα, δεν παρουσιάζει πλήρη πίνακα κατανομών ανά γεωγραφική ενότητα, δεν αποσαφηνίζει με ποσοτική ακρίβεια πόσα ΑΦΜ πληρώθηκαν με κάθε επιμέρους κριτήριο, ούτε τεκμηριώνει τη διασταύρωση στοιχείων μεταξύ ΑΡΤΕΜΙΣ, ΟΣΔΕ και φορολογικών δεδομένων. Δεν εξηγεί με διαφάνεια τη μεθοδολογία ελέγχου της </w:t>
      </w:r>
      <w:proofErr w:type="spellStart"/>
      <w:r w:rsidRPr="00287ED1">
        <w:rPr>
          <w:rFonts w:eastAsia="Times New Roman" w:cs="Calibri"/>
          <w:color w:val="222222"/>
          <w:sz w:val="28"/>
          <w:szCs w:val="28"/>
          <w:lang w:eastAsia="el-GR"/>
        </w:rPr>
        <w:t>επιλεξιμότητας</w:t>
      </w:r>
      <w:proofErr w:type="spellEnd"/>
      <w:r w:rsidRPr="00287ED1">
        <w:rPr>
          <w:rFonts w:eastAsia="Times New Roman" w:cs="Calibri"/>
          <w:color w:val="222222"/>
          <w:sz w:val="28"/>
          <w:szCs w:val="28"/>
          <w:lang w:eastAsia="el-GR"/>
        </w:rPr>
        <w:t>, ποιος τη σχεδίασε, ποιος την ενέκρινε και πώς εφαρμόστηκε στην πράξη ο αλγόριθμος της κατανομής.</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 xml:space="preserve">Αντί ουσιαστικής τεκμηρίωσης, η συζήτηση μετατοπίζεται σε «λανθασμένη χρήση όρων» και «παρερμηνείες». Όμως το θέμα δεν είναι γλωσσικό. Είναι θεσμικό και αφορά τη διαχείριση δημοσίου – </w:t>
      </w:r>
      <w:proofErr w:type="spellStart"/>
      <w:r w:rsidRPr="00287ED1">
        <w:rPr>
          <w:rFonts w:eastAsia="Times New Roman" w:cs="Calibri"/>
          <w:color w:val="222222"/>
          <w:sz w:val="28"/>
          <w:szCs w:val="28"/>
          <w:lang w:eastAsia="el-GR"/>
        </w:rPr>
        <w:t>ενωσιακού</w:t>
      </w:r>
      <w:proofErr w:type="spellEnd"/>
      <w:r w:rsidRPr="00287ED1">
        <w:rPr>
          <w:rFonts w:eastAsia="Times New Roman" w:cs="Calibri"/>
          <w:color w:val="222222"/>
          <w:sz w:val="28"/>
          <w:szCs w:val="28"/>
          <w:lang w:eastAsia="el-GR"/>
        </w:rPr>
        <w:t xml:space="preserve"> χρήματος.</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Ιδιαίτερα σοβαρό παραμένει το τεχνικό ζήτημα που δεν έχει απαντηθεί, ήτοι με ποιον τρόπο ελέγχθηκαν περιπτώσεις στις οποίες εμφανίζονται παραστατικά πώλησης γαλακτοκομικών ή τυροκομικών προϊόντων χωρίς αντίστοιχες καταχωρίσεις παραγωγής ή παραδόσεων στη βάση δεδομένων του ΑΡΤΕΜΙΣ. Εάν – υποθετικά - υπάρχουν τιμολόγια χωρίς καταγεγραμμένη παραγωγή, με ποια διαδικασία πιστοποιήθηκε η πραγματική δραστηριότητα και ποιος φορέας επιβεβαίωσε τη διασταύρωση των στοιχείων; Έχει τοποθετηθεί θεσμικά ο ΕΛΓΟ ΔΗΜΗΤΡΑ επί της αντιστοίχισης παραγωγής και παραστατικών;</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Η επίκληση μείωσης δηλωθέντων αιγοπροβάτων ή αλλαγής μεθοδολογίας ως ένδειξη «</w:t>
      </w:r>
      <w:proofErr w:type="spellStart"/>
      <w:r w:rsidRPr="00287ED1">
        <w:rPr>
          <w:rFonts w:eastAsia="Times New Roman" w:cs="Calibri"/>
          <w:color w:val="222222"/>
          <w:sz w:val="28"/>
          <w:szCs w:val="28"/>
          <w:lang w:eastAsia="el-GR"/>
        </w:rPr>
        <w:t>εξορθολογισμού</w:t>
      </w:r>
      <w:proofErr w:type="spellEnd"/>
      <w:r w:rsidRPr="00287ED1">
        <w:rPr>
          <w:rFonts w:eastAsia="Times New Roman" w:cs="Calibri"/>
          <w:color w:val="222222"/>
          <w:sz w:val="28"/>
          <w:szCs w:val="28"/>
          <w:lang w:eastAsia="el-GR"/>
        </w:rPr>
        <w:t>» δεν αρκεί. Στατιστική μείωση δεν σημαίνει αυτομάτως ουσιαστικό έλεγχο. Το κρίσιμο ερώτημα είναι αν οι έλεγχοι ήταν καθολικοί, αν οι κανόνες εφαρμόστηκαν ομοιόμορφα και αν αποκλείστηκαν πράγματι περιπτώσεις εικονικής δραστηριότητας.</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lastRenderedPageBreak/>
        <w:t xml:space="preserve">Όταν μια δημόσια και ανεξάρτητη αρχή απαντά με γενικές διατυπώσεις αντί με επαληθεύσιμα δεδομένα, δημιουργείται εύλογη αμφιβολία για το βάθος του ελέγχου. Η δημόσια λογοδοσία δεν εξαντλείται σε καθησυχαστικές φράσεις. Προϋποθέτει πλήρη, διασταυρωμένα και </w:t>
      </w:r>
      <w:proofErr w:type="spellStart"/>
      <w:r w:rsidRPr="00287ED1">
        <w:rPr>
          <w:rFonts w:eastAsia="Times New Roman" w:cs="Calibri"/>
          <w:color w:val="222222"/>
          <w:sz w:val="28"/>
          <w:szCs w:val="28"/>
          <w:lang w:eastAsia="el-GR"/>
        </w:rPr>
        <w:t>προσβάσιμα</w:t>
      </w:r>
      <w:proofErr w:type="spellEnd"/>
      <w:r w:rsidRPr="00287ED1">
        <w:rPr>
          <w:rFonts w:eastAsia="Times New Roman" w:cs="Calibri"/>
          <w:color w:val="222222"/>
          <w:sz w:val="28"/>
          <w:szCs w:val="28"/>
          <w:lang w:eastAsia="el-GR"/>
        </w:rPr>
        <w:t xml:space="preserve"> στοιχεία.</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Η ΠΟΓΕΔΥ δεν αποδέχεται ένα πρόωρο επικοινωνιακό «κλείσιμο» ενός ζητήματος που αφορά τη νομιμότητα της κατανομής δημόσιας γης, την αξιοπιστία του συστήματος ενισχύσεων και την ισονομία μεταξύ πραγματικών και εικονικών παραγωγών. Πρόκειται για ζήτημα θεσμικής τάξης και δημόσιας ευθύνης. Ζητούμε άμεσα και δημόσια:</w:t>
      </w:r>
    </w:p>
    <w:p w:rsidR="00287ED1" w:rsidRPr="00287ED1" w:rsidRDefault="00287ED1" w:rsidP="00F13E57">
      <w:pPr>
        <w:shd w:val="clear" w:color="auto" w:fill="FFFFFF"/>
        <w:spacing w:after="0" w:line="235" w:lineRule="atLeast"/>
        <w:ind w:left="720"/>
        <w:jc w:val="both"/>
        <w:rPr>
          <w:rFonts w:eastAsia="Times New Roman" w:cs="Calibri"/>
          <w:color w:val="222222"/>
          <w:sz w:val="28"/>
          <w:szCs w:val="28"/>
          <w:lang w:eastAsia="el-GR"/>
        </w:rPr>
      </w:pPr>
      <w:r w:rsidRPr="00287ED1">
        <w:rPr>
          <w:rFonts w:eastAsia="Times New Roman" w:cs="Calibri"/>
          <w:color w:val="222222"/>
          <w:sz w:val="28"/>
          <w:szCs w:val="28"/>
          <w:lang w:eastAsia="el-GR"/>
        </w:rPr>
        <w:t>1.</w:t>
      </w:r>
      <w:r w:rsidRPr="00287ED1">
        <w:rPr>
          <w:rFonts w:ascii="Times New Roman" w:eastAsia="Times New Roman" w:hAnsi="Times New Roman"/>
          <w:color w:val="222222"/>
          <w:sz w:val="28"/>
          <w:szCs w:val="28"/>
          <w:lang w:eastAsia="el-GR"/>
        </w:rPr>
        <w:t>      </w:t>
      </w:r>
      <w:r w:rsidRPr="00287ED1">
        <w:rPr>
          <w:rFonts w:eastAsia="Times New Roman" w:cs="Calibri"/>
          <w:color w:val="222222"/>
          <w:sz w:val="28"/>
          <w:szCs w:val="28"/>
          <w:lang w:eastAsia="el-GR"/>
        </w:rPr>
        <w:t xml:space="preserve">Πλήρη και αναλυτική δημοσιοποίηση των ΑΦΜ που έλαβαν κατανομή, με σαφή προσδιορισμό του επιμέρους κριτηρίου </w:t>
      </w:r>
      <w:proofErr w:type="spellStart"/>
      <w:r w:rsidRPr="00287ED1">
        <w:rPr>
          <w:rFonts w:eastAsia="Times New Roman" w:cs="Calibri"/>
          <w:color w:val="222222"/>
          <w:sz w:val="28"/>
          <w:szCs w:val="28"/>
          <w:lang w:eastAsia="el-GR"/>
        </w:rPr>
        <w:t>επιλεξιμότητας</w:t>
      </w:r>
      <w:proofErr w:type="spellEnd"/>
      <w:r w:rsidRPr="00287ED1">
        <w:rPr>
          <w:rFonts w:eastAsia="Times New Roman" w:cs="Calibri"/>
          <w:color w:val="222222"/>
          <w:sz w:val="28"/>
          <w:szCs w:val="28"/>
          <w:lang w:eastAsia="el-GR"/>
        </w:rPr>
        <w:t xml:space="preserve"> σε κάθε περίπτωση.</w:t>
      </w:r>
    </w:p>
    <w:p w:rsidR="00287ED1" w:rsidRPr="00287ED1" w:rsidRDefault="00287ED1" w:rsidP="00F13E57">
      <w:pPr>
        <w:shd w:val="clear" w:color="auto" w:fill="FFFFFF"/>
        <w:spacing w:after="0" w:line="235" w:lineRule="atLeast"/>
        <w:ind w:left="720"/>
        <w:jc w:val="both"/>
        <w:rPr>
          <w:rFonts w:eastAsia="Times New Roman" w:cs="Calibri"/>
          <w:color w:val="222222"/>
          <w:sz w:val="28"/>
          <w:szCs w:val="28"/>
          <w:lang w:eastAsia="el-GR"/>
        </w:rPr>
      </w:pPr>
      <w:r w:rsidRPr="00287ED1">
        <w:rPr>
          <w:rFonts w:eastAsia="Times New Roman" w:cs="Calibri"/>
          <w:color w:val="222222"/>
          <w:sz w:val="28"/>
          <w:szCs w:val="28"/>
          <w:lang w:eastAsia="el-GR"/>
        </w:rPr>
        <w:t>2.</w:t>
      </w:r>
      <w:r w:rsidRPr="00287ED1">
        <w:rPr>
          <w:rFonts w:ascii="Times New Roman" w:eastAsia="Times New Roman" w:hAnsi="Times New Roman"/>
          <w:color w:val="222222"/>
          <w:sz w:val="28"/>
          <w:szCs w:val="28"/>
          <w:lang w:eastAsia="el-GR"/>
        </w:rPr>
        <w:t>      </w:t>
      </w:r>
      <w:r w:rsidRPr="00287ED1">
        <w:rPr>
          <w:rFonts w:eastAsia="Times New Roman" w:cs="Calibri"/>
          <w:color w:val="222222"/>
          <w:sz w:val="28"/>
          <w:szCs w:val="28"/>
          <w:lang w:eastAsia="el-GR"/>
        </w:rPr>
        <w:t>Επίσημη και τεκμηριωμένη διασταύρωση στοιχείων μεταξύ ΑΡΤΕΜΙΣ, ΟΣΔΕ και φορολογικών δεδομένων, με σαφή αναφορά στη μεθοδολογία ελέγχου.</w:t>
      </w:r>
    </w:p>
    <w:p w:rsidR="00287ED1" w:rsidRPr="00287ED1" w:rsidRDefault="00287ED1" w:rsidP="00F13E57">
      <w:pPr>
        <w:shd w:val="clear" w:color="auto" w:fill="FFFFFF"/>
        <w:spacing w:after="0" w:line="235" w:lineRule="atLeast"/>
        <w:ind w:left="720"/>
        <w:jc w:val="both"/>
        <w:rPr>
          <w:rFonts w:eastAsia="Times New Roman" w:cs="Calibri"/>
          <w:color w:val="222222"/>
          <w:sz w:val="28"/>
          <w:szCs w:val="28"/>
          <w:lang w:eastAsia="el-GR"/>
        </w:rPr>
      </w:pPr>
      <w:r w:rsidRPr="00287ED1">
        <w:rPr>
          <w:rFonts w:eastAsia="Times New Roman" w:cs="Calibri"/>
          <w:color w:val="222222"/>
          <w:sz w:val="28"/>
          <w:szCs w:val="28"/>
          <w:lang w:eastAsia="el-GR"/>
        </w:rPr>
        <w:t>3.</w:t>
      </w:r>
      <w:r w:rsidRPr="00287ED1">
        <w:rPr>
          <w:rFonts w:ascii="Times New Roman" w:eastAsia="Times New Roman" w:hAnsi="Times New Roman"/>
          <w:color w:val="222222"/>
          <w:sz w:val="28"/>
          <w:szCs w:val="28"/>
          <w:lang w:eastAsia="el-GR"/>
        </w:rPr>
        <w:t>      </w:t>
      </w:r>
      <w:r w:rsidRPr="00287ED1">
        <w:rPr>
          <w:rFonts w:eastAsia="Times New Roman" w:cs="Calibri"/>
          <w:color w:val="222222"/>
          <w:sz w:val="28"/>
          <w:szCs w:val="28"/>
          <w:lang w:eastAsia="el-GR"/>
        </w:rPr>
        <w:t xml:space="preserve">Ειδικό και </w:t>
      </w:r>
      <w:proofErr w:type="spellStart"/>
      <w:r w:rsidRPr="00287ED1">
        <w:rPr>
          <w:rFonts w:eastAsia="Times New Roman" w:cs="Calibri"/>
          <w:color w:val="222222"/>
          <w:sz w:val="28"/>
          <w:szCs w:val="28"/>
          <w:lang w:eastAsia="el-GR"/>
        </w:rPr>
        <w:t>στοχευμένο</w:t>
      </w:r>
      <w:proofErr w:type="spellEnd"/>
      <w:r w:rsidRPr="00287ED1">
        <w:rPr>
          <w:rFonts w:eastAsia="Times New Roman" w:cs="Calibri"/>
          <w:color w:val="222222"/>
          <w:sz w:val="28"/>
          <w:szCs w:val="28"/>
          <w:lang w:eastAsia="el-GR"/>
        </w:rPr>
        <w:t xml:space="preserve"> έλεγχο για περιπτώσεις έκδοσης παραστατικών γαλακτοκομικών προϊόντων χωρίς αντίστοιχη παραγωγική καταγραφή στις αρμόδιες βάσεις δεδομένων.</w:t>
      </w:r>
    </w:p>
    <w:p w:rsidR="00287ED1" w:rsidRPr="00287ED1" w:rsidRDefault="00287ED1" w:rsidP="00F13E57">
      <w:pPr>
        <w:shd w:val="clear" w:color="auto" w:fill="FFFFFF"/>
        <w:spacing w:after="160" w:line="235" w:lineRule="atLeast"/>
        <w:ind w:left="720"/>
        <w:jc w:val="both"/>
        <w:rPr>
          <w:rFonts w:eastAsia="Times New Roman" w:cs="Calibri"/>
          <w:color w:val="222222"/>
          <w:sz w:val="28"/>
          <w:szCs w:val="28"/>
          <w:lang w:eastAsia="el-GR"/>
        </w:rPr>
      </w:pPr>
      <w:r w:rsidRPr="00287ED1">
        <w:rPr>
          <w:rFonts w:eastAsia="Times New Roman" w:cs="Calibri"/>
          <w:color w:val="222222"/>
          <w:sz w:val="28"/>
          <w:szCs w:val="28"/>
          <w:lang w:eastAsia="el-GR"/>
        </w:rPr>
        <w:t>4.</w:t>
      </w:r>
      <w:r w:rsidRPr="00287ED1">
        <w:rPr>
          <w:rFonts w:ascii="Times New Roman" w:eastAsia="Times New Roman" w:hAnsi="Times New Roman"/>
          <w:color w:val="222222"/>
          <w:sz w:val="28"/>
          <w:szCs w:val="28"/>
          <w:lang w:eastAsia="el-GR"/>
        </w:rPr>
        <w:t>      </w:t>
      </w:r>
      <w:r w:rsidRPr="00287ED1">
        <w:rPr>
          <w:rFonts w:eastAsia="Times New Roman" w:cs="Calibri"/>
          <w:color w:val="222222"/>
          <w:sz w:val="28"/>
          <w:szCs w:val="28"/>
          <w:lang w:eastAsia="el-GR"/>
        </w:rPr>
        <w:t xml:space="preserve">Ρητή απάντηση για το ποιος φορέας φέρει τη θεσμική ευθύνη ελέγχου, επαλήθευσης και τελικής πιστοποίησης της </w:t>
      </w:r>
      <w:proofErr w:type="spellStart"/>
      <w:r w:rsidRPr="00287ED1">
        <w:rPr>
          <w:rFonts w:eastAsia="Times New Roman" w:cs="Calibri"/>
          <w:color w:val="222222"/>
          <w:sz w:val="28"/>
          <w:szCs w:val="28"/>
          <w:lang w:eastAsia="el-GR"/>
        </w:rPr>
        <w:t>επιλεξιμότητας</w:t>
      </w:r>
      <w:proofErr w:type="spellEnd"/>
      <w:r w:rsidRPr="00287ED1">
        <w:rPr>
          <w:rFonts w:eastAsia="Times New Roman" w:cs="Calibri"/>
          <w:color w:val="222222"/>
          <w:sz w:val="28"/>
          <w:szCs w:val="28"/>
          <w:lang w:eastAsia="el-GR"/>
        </w:rPr>
        <w:t>.</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Η πραγματική κτηνοτροφία δεν προστατεύεται με ανακοινώσεις ούτε με γενικές διαβεβαιώσεις. Προστατεύεται με διαφάνεια, ελέγχους και ίσους κανόνες.</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Αν δεν υπάρχουν στρεβλώσεις, τα αναλυτικά και διασταυρωμένα στοιχεία θα το αποδείξουν αδιαμφισβήτητα. Αν υπάρχουν, η Πολιτεία έχει υποχρέωση να τις εντοπίσει και να τις διορθώσει χωρίς καθυστέρηση.</w:t>
      </w:r>
    </w:p>
    <w:p w:rsidR="00287ED1" w:rsidRPr="00287ED1" w:rsidRDefault="00287ED1" w:rsidP="00F13E57">
      <w:pPr>
        <w:shd w:val="clear" w:color="auto" w:fill="FFFFFF"/>
        <w:spacing w:after="160" w:line="235" w:lineRule="atLeast"/>
        <w:jc w:val="both"/>
        <w:rPr>
          <w:rFonts w:eastAsia="Times New Roman" w:cs="Calibri"/>
          <w:color w:val="222222"/>
          <w:sz w:val="28"/>
          <w:szCs w:val="28"/>
          <w:lang w:eastAsia="el-GR"/>
        </w:rPr>
      </w:pPr>
      <w:r w:rsidRPr="00287ED1">
        <w:rPr>
          <w:rFonts w:eastAsia="Times New Roman" w:cs="Calibri"/>
          <w:color w:val="222222"/>
          <w:sz w:val="28"/>
          <w:szCs w:val="28"/>
          <w:lang w:eastAsia="el-GR"/>
        </w:rPr>
        <w:t>Η ΠΟΓΕΔΥ θα επιμείνει θεσμικά μέχρι να δοθούν καθαρές, πλήρεις και τεκμηριωμένες απαντήσεις. Η σιωπή δεν αποκαθιστά την εμπιστοσύνη. Η διαφάνεια είναι υποχρέωση.</w:t>
      </w:r>
    </w:p>
    <w:p w:rsidR="00513164" w:rsidRPr="00513164" w:rsidRDefault="00513164" w:rsidP="00513164">
      <w:pPr>
        <w:jc w:val="both"/>
        <w:rPr>
          <w:rFonts w:ascii="Times New Roman" w:eastAsia="Times New Roman" w:hAnsi="Times New Roman"/>
          <w:sz w:val="28"/>
          <w:szCs w:val="28"/>
        </w:rPr>
      </w:pPr>
    </w:p>
    <w:p w:rsidR="00B8463E" w:rsidRPr="00B8463E" w:rsidRDefault="00B8463E" w:rsidP="00B8463E">
      <w:pPr>
        <w:jc w:val="both"/>
        <w:rPr>
          <w:rFonts w:ascii="Times New Roman" w:eastAsia="Times New Roman" w:hAnsi="Times New Roman"/>
          <w:sz w:val="28"/>
          <w:szCs w:val="28"/>
        </w:rPr>
      </w:pPr>
    </w:p>
    <w:p w:rsidR="00842E46" w:rsidRPr="003F3A97" w:rsidRDefault="00842E46" w:rsidP="00093D4D">
      <w:pPr>
        <w:ind w:left="6480" w:right="-193"/>
        <w:rPr>
          <w:rFonts w:ascii="Times New Roman" w:hAnsi="Times New Roman"/>
          <w:b/>
          <w:bCs/>
          <w:sz w:val="28"/>
          <w:szCs w:val="28"/>
        </w:rPr>
      </w:pPr>
      <w:r w:rsidRPr="003F3A97">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98242E">
      <w:pgSz w:w="11906" w:h="16838"/>
      <w:pgMar w:top="709" w:right="991"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5">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5"/>
  </w:num>
  <w:num w:numId="3">
    <w:abstractNumId w:val="10"/>
  </w:num>
  <w:num w:numId="4">
    <w:abstractNumId w:val="11"/>
  </w:num>
  <w:num w:numId="5">
    <w:abstractNumId w:val="14"/>
  </w:num>
  <w:num w:numId="6">
    <w:abstractNumId w:val="13"/>
  </w:num>
  <w:num w:numId="7">
    <w:abstractNumId w:val="5"/>
  </w:num>
  <w:num w:numId="8">
    <w:abstractNumId w:val="12"/>
  </w:num>
  <w:num w:numId="9">
    <w:abstractNumId w:val="3"/>
  </w:num>
  <w:num w:numId="10">
    <w:abstractNumId w:val="16"/>
  </w:num>
  <w:num w:numId="11">
    <w:abstractNumId w:val="2"/>
  </w:num>
  <w:num w:numId="12">
    <w:abstractNumId w:val="1"/>
  </w:num>
  <w:num w:numId="13">
    <w:abstractNumId w:val="7"/>
  </w:num>
  <w:num w:numId="14">
    <w:abstractNumId w:val="9"/>
  </w:num>
  <w:num w:numId="15">
    <w:abstractNumId w:val="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2A80"/>
    <w:rsid w:val="00037894"/>
    <w:rsid w:val="00044EBC"/>
    <w:rsid w:val="000607F4"/>
    <w:rsid w:val="000627A3"/>
    <w:rsid w:val="00072B5B"/>
    <w:rsid w:val="00084B19"/>
    <w:rsid w:val="00087CB3"/>
    <w:rsid w:val="00093D4D"/>
    <w:rsid w:val="00095B7C"/>
    <w:rsid w:val="000B170D"/>
    <w:rsid w:val="000B6288"/>
    <w:rsid w:val="000C7053"/>
    <w:rsid w:val="000D706D"/>
    <w:rsid w:val="000F0A9C"/>
    <w:rsid w:val="000F39E0"/>
    <w:rsid w:val="000F4F9C"/>
    <w:rsid w:val="00107239"/>
    <w:rsid w:val="0011039E"/>
    <w:rsid w:val="00113AA9"/>
    <w:rsid w:val="00144D11"/>
    <w:rsid w:val="00150AA2"/>
    <w:rsid w:val="00167B46"/>
    <w:rsid w:val="001801F9"/>
    <w:rsid w:val="00183624"/>
    <w:rsid w:val="00186A34"/>
    <w:rsid w:val="00193D93"/>
    <w:rsid w:val="001C3965"/>
    <w:rsid w:val="001C58C6"/>
    <w:rsid w:val="001D4992"/>
    <w:rsid w:val="001D70FB"/>
    <w:rsid w:val="001E2B23"/>
    <w:rsid w:val="001F1046"/>
    <w:rsid w:val="001F626C"/>
    <w:rsid w:val="002100BE"/>
    <w:rsid w:val="002146C0"/>
    <w:rsid w:val="0023184D"/>
    <w:rsid w:val="00243B9D"/>
    <w:rsid w:val="0027531B"/>
    <w:rsid w:val="002778C0"/>
    <w:rsid w:val="00287ED1"/>
    <w:rsid w:val="002B0CEE"/>
    <w:rsid w:val="002E2101"/>
    <w:rsid w:val="002F6A6E"/>
    <w:rsid w:val="002F7514"/>
    <w:rsid w:val="0031532B"/>
    <w:rsid w:val="00316345"/>
    <w:rsid w:val="00322FF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36D3B"/>
    <w:rsid w:val="00445A88"/>
    <w:rsid w:val="004460CE"/>
    <w:rsid w:val="00454FAC"/>
    <w:rsid w:val="00455915"/>
    <w:rsid w:val="00455ED4"/>
    <w:rsid w:val="00463C15"/>
    <w:rsid w:val="00490F12"/>
    <w:rsid w:val="00491DD6"/>
    <w:rsid w:val="004A27D5"/>
    <w:rsid w:val="004B0A48"/>
    <w:rsid w:val="004B2B6C"/>
    <w:rsid w:val="004C60ED"/>
    <w:rsid w:val="005054EA"/>
    <w:rsid w:val="00513164"/>
    <w:rsid w:val="00513CEF"/>
    <w:rsid w:val="00543079"/>
    <w:rsid w:val="0057520D"/>
    <w:rsid w:val="005A44F1"/>
    <w:rsid w:val="005B2F89"/>
    <w:rsid w:val="005D323E"/>
    <w:rsid w:val="005E0A32"/>
    <w:rsid w:val="005E52F3"/>
    <w:rsid w:val="005E670F"/>
    <w:rsid w:val="005F1CC2"/>
    <w:rsid w:val="0062468F"/>
    <w:rsid w:val="00630AB0"/>
    <w:rsid w:val="006462F2"/>
    <w:rsid w:val="006507BF"/>
    <w:rsid w:val="006567DE"/>
    <w:rsid w:val="006579AF"/>
    <w:rsid w:val="006638C2"/>
    <w:rsid w:val="00665969"/>
    <w:rsid w:val="00666081"/>
    <w:rsid w:val="00671768"/>
    <w:rsid w:val="0068766C"/>
    <w:rsid w:val="00694C36"/>
    <w:rsid w:val="006A0B08"/>
    <w:rsid w:val="006A1712"/>
    <w:rsid w:val="006A1FFB"/>
    <w:rsid w:val="006B6888"/>
    <w:rsid w:val="006D01AF"/>
    <w:rsid w:val="006D11F3"/>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539C"/>
    <w:rsid w:val="008278C0"/>
    <w:rsid w:val="00835764"/>
    <w:rsid w:val="00842E46"/>
    <w:rsid w:val="00850CA4"/>
    <w:rsid w:val="0085391A"/>
    <w:rsid w:val="0085510B"/>
    <w:rsid w:val="00855D5B"/>
    <w:rsid w:val="008577CD"/>
    <w:rsid w:val="00866852"/>
    <w:rsid w:val="008A650B"/>
    <w:rsid w:val="008B142B"/>
    <w:rsid w:val="008B5FBD"/>
    <w:rsid w:val="008B683E"/>
    <w:rsid w:val="008C415C"/>
    <w:rsid w:val="008D3BDD"/>
    <w:rsid w:val="008D429F"/>
    <w:rsid w:val="008F1460"/>
    <w:rsid w:val="008F2973"/>
    <w:rsid w:val="008F4B7A"/>
    <w:rsid w:val="0091249C"/>
    <w:rsid w:val="00934A88"/>
    <w:rsid w:val="00937ED3"/>
    <w:rsid w:val="00947421"/>
    <w:rsid w:val="009475B9"/>
    <w:rsid w:val="00947EF5"/>
    <w:rsid w:val="009647F7"/>
    <w:rsid w:val="00972571"/>
    <w:rsid w:val="00975546"/>
    <w:rsid w:val="0098242E"/>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5AC"/>
    <w:rsid w:val="00AA5E08"/>
    <w:rsid w:val="00AB599F"/>
    <w:rsid w:val="00AE163F"/>
    <w:rsid w:val="00AE5E2B"/>
    <w:rsid w:val="00B01FB1"/>
    <w:rsid w:val="00B109A1"/>
    <w:rsid w:val="00B4263C"/>
    <w:rsid w:val="00B5059B"/>
    <w:rsid w:val="00B557DD"/>
    <w:rsid w:val="00B63E39"/>
    <w:rsid w:val="00B67672"/>
    <w:rsid w:val="00B82BF4"/>
    <w:rsid w:val="00B8463E"/>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0693F"/>
    <w:rsid w:val="00E26B4E"/>
    <w:rsid w:val="00E41ADB"/>
    <w:rsid w:val="00E42092"/>
    <w:rsid w:val="00E44D22"/>
    <w:rsid w:val="00E528F3"/>
    <w:rsid w:val="00E622C9"/>
    <w:rsid w:val="00E629D3"/>
    <w:rsid w:val="00E65076"/>
    <w:rsid w:val="00E67ED8"/>
    <w:rsid w:val="00E701AC"/>
    <w:rsid w:val="00E818D3"/>
    <w:rsid w:val="00E948B2"/>
    <w:rsid w:val="00EA1E18"/>
    <w:rsid w:val="00EA3502"/>
    <w:rsid w:val="00EB7A35"/>
    <w:rsid w:val="00EE6A8D"/>
    <w:rsid w:val="00F0652F"/>
    <w:rsid w:val="00F13E57"/>
    <w:rsid w:val="00F148B0"/>
    <w:rsid w:val="00F15586"/>
    <w:rsid w:val="00F22062"/>
    <w:rsid w:val="00F31565"/>
    <w:rsid w:val="00F55F39"/>
    <w:rsid w:val="00F81421"/>
    <w:rsid w:val="00F83DB9"/>
    <w:rsid w:val="00F908DB"/>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0409807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9590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 w:id="2119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610</Words>
  <Characters>3299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6</cp:revision>
  <cp:lastPrinted>2022-11-28T09:18:00Z</cp:lastPrinted>
  <dcterms:created xsi:type="dcterms:W3CDTF">2026-02-11T08:42:00Z</dcterms:created>
  <dcterms:modified xsi:type="dcterms:W3CDTF">2026-02-16T06:41:00Z</dcterms:modified>
</cp:coreProperties>
</file>