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23"/>
      </w:tblGrid>
      <w:tr w:rsidR="00FA6B32" w:rsidRPr="007674CF" w:rsidTr="00521190">
        <w:trPr>
          <w:trHeight w:val="1809"/>
        </w:trPr>
        <w:tc>
          <w:tcPr>
            <w:tcW w:w="9923" w:type="dxa"/>
          </w:tcPr>
          <w:p w:rsidR="005E49D6" w:rsidRPr="005E49D6" w:rsidRDefault="005E49D6" w:rsidP="000B1E2B">
            <w:pPr>
              <w:spacing w:after="0" w:line="300" w:lineRule="auto"/>
              <w:ind w:right="771"/>
              <w:jc w:val="center"/>
              <w:rPr>
                <w:rFonts w:ascii="Times New Roman" w:hAnsi="Times New Roman"/>
                <w:b/>
                <w:sz w:val="8"/>
                <w:szCs w:val="8"/>
                <w:lang w:val="en-US"/>
              </w:rPr>
            </w:pPr>
          </w:p>
          <w:p w:rsidR="00674275"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ΠΑΝΕΛΛΗΝΙΑ</w:t>
            </w:r>
            <w:r w:rsidR="00D434C3" w:rsidRPr="00A82BE0">
              <w:rPr>
                <w:rFonts w:ascii="Times New Roman" w:hAnsi="Times New Roman"/>
                <w:b/>
              </w:rPr>
              <w:t xml:space="preserve"> </w:t>
            </w:r>
            <w:r w:rsidRPr="00B00F7C">
              <w:rPr>
                <w:rFonts w:ascii="Times New Roman" w:hAnsi="Times New Roman"/>
                <w:b/>
              </w:rPr>
              <w:t>ΟΜΟΣΠΟΝΔΙΑ</w:t>
            </w:r>
            <w:r w:rsidR="00D434C3" w:rsidRPr="00A82BE0">
              <w:rPr>
                <w:rFonts w:ascii="Times New Roman" w:hAnsi="Times New Roman"/>
                <w:b/>
              </w:rPr>
              <w:t xml:space="preserve"> </w:t>
            </w:r>
            <w:r w:rsidRPr="00B00F7C">
              <w:rPr>
                <w:rFonts w:ascii="Times New Roman" w:hAnsi="Times New Roman"/>
                <w:b/>
              </w:rPr>
              <w:t>ΓΕΩΤΕΧΝΙΚΩΝ</w:t>
            </w:r>
            <w:r w:rsidR="00D434C3" w:rsidRPr="00A82BE0">
              <w:rPr>
                <w:rFonts w:ascii="Times New Roman" w:hAnsi="Times New Roman"/>
                <w:b/>
              </w:rPr>
              <w:t xml:space="preserve"> </w:t>
            </w:r>
            <w:r w:rsidRPr="00B00F7C">
              <w:rPr>
                <w:rFonts w:ascii="Times New Roman" w:hAnsi="Times New Roman"/>
                <w:b/>
              </w:rPr>
              <w:t>ΔΗΜΟΣΙΩΝ</w:t>
            </w:r>
            <w:r w:rsidR="00D434C3" w:rsidRPr="00A82BE0">
              <w:rPr>
                <w:rFonts w:ascii="Times New Roman" w:hAnsi="Times New Roman"/>
                <w:b/>
              </w:rPr>
              <w:t xml:space="preserve"> </w:t>
            </w:r>
            <w:r w:rsidRPr="00B00F7C">
              <w:rPr>
                <w:rFonts w:ascii="Times New Roman" w:hAnsi="Times New Roman"/>
                <w:b/>
              </w:rPr>
              <w:t>ΥΠΑΛΛΗΛΩΝ</w:t>
            </w:r>
          </w:p>
          <w:p w:rsidR="00FA6B32" w:rsidRPr="00B00F7C"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(ΠΟΓΕΔΥ)</w:t>
            </w:r>
          </w:p>
          <w:p w:rsidR="00FA6B32" w:rsidRPr="00B00F7C" w:rsidRDefault="00FA6B32" w:rsidP="00A47C00">
            <w:pPr>
              <w:spacing w:after="0" w:line="295" w:lineRule="auto"/>
              <w:ind w:right="-108" w:hanging="108"/>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A47C00">
            <w:pPr>
              <w:spacing w:after="0" w:line="295" w:lineRule="auto"/>
              <w:ind w:right="-108" w:hanging="108"/>
              <w:jc w:val="center"/>
              <w:rPr>
                <w:rFonts w:ascii="Times New Roman" w:hAnsi="Times New Roman"/>
              </w:rPr>
            </w:pPr>
            <w:r w:rsidRPr="00B00F7C">
              <w:rPr>
                <w:rFonts w:ascii="Times New Roman" w:hAnsi="Times New Roman"/>
              </w:rPr>
              <w:t>Αχαρνών2Αθήνα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rsidR="00FA6B32" w:rsidRPr="00A82BE0" w:rsidRDefault="00733369" w:rsidP="00A47C00">
            <w:pPr>
              <w:spacing w:after="0" w:line="240" w:lineRule="auto"/>
              <w:ind w:left="734" w:right="-108" w:hanging="108"/>
              <w:jc w:val="center"/>
              <w:rPr>
                <w:rFonts w:ascii="Times New Roman" w:hAnsi="Times New Roman"/>
                <w:b/>
                <w:lang w:val="en-US"/>
              </w:rPr>
            </w:pPr>
            <w:r>
              <w:fldChar w:fldCharType="begin"/>
            </w:r>
            <w:r w:rsidRPr="007674CF">
              <w:rPr>
                <w:lang w:val="en-US"/>
              </w:rPr>
              <w:instrText>HYPERLINK "mailto:e-mail%20:%20ax2u128@minagric.gr"</w:instrText>
            </w:r>
            <w:r>
              <w:fldChar w:fldCharType="separate"/>
            </w:r>
            <w:r w:rsidR="00FA6B32" w:rsidRPr="00B00F7C">
              <w:rPr>
                <w:rStyle w:val="-"/>
                <w:rFonts w:ascii="Times New Roman" w:hAnsi="Times New Roman"/>
                <w:b/>
                <w:lang w:val="en-US"/>
              </w:rPr>
              <w:t>e</w:t>
            </w:r>
            <w:r w:rsidR="00FA6B32" w:rsidRPr="00A82BE0">
              <w:rPr>
                <w:rStyle w:val="-"/>
                <w:rFonts w:ascii="Times New Roman" w:hAnsi="Times New Roman"/>
                <w:b/>
                <w:lang w:val="en-US"/>
              </w:rPr>
              <w:t>-</w:t>
            </w:r>
            <w:r w:rsidR="00FA6B32" w:rsidRPr="00B00F7C">
              <w:rPr>
                <w:rStyle w:val="-"/>
                <w:rFonts w:ascii="Times New Roman" w:hAnsi="Times New Roman"/>
                <w:b/>
                <w:lang w:val="en-US"/>
              </w:rPr>
              <w:t>mail</w:t>
            </w:r>
            <w:r w:rsidR="00FA6B32" w:rsidRPr="00A82BE0">
              <w:rPr>
                <w:rStyle w:val="-"/>
                <w:rFonts w:ascii="Times New Roman" w:hAnsi="Times New Roman"/>
                <w:b/>
                <w:lang w:val="en-US"/>
              </w:rPr>
              <w:t xml:space="preserve"> : </w:t>
            </w:r>
            <w:r w:rsidR="00FA6B32" w:rsidRPr="00B00F7C">
              <w:rPr>
                <w:rStyle w:val="-"/>
                <w:rFonts w:ascii="Times New Roman" w:hAnsi="Times New Roman"/>
                <w:b/>
                <w:lang w:val="en-US"/>
              </w:rPr>
              <w:t>ax</w:t>
            </w:r>
            <w:r w:rsidR="00FA6B32" w:rsidRPr="00A82BE0">
              <w:rPr>
                <w:rStyle w:val="-"/>
                <w:rFonts w:ascii="Times New Roman" w:hAnsi="Times New Roman"/>
                <w:b/>
                <w:lang w:val="en-US"/>
              </w:rPr>
              <w:t>2</w:t>
            </w:r>
            <w:r w:rsidR="00FA6B32" w:rsidRPr="00B00F7C">
              <w:rPr>
                <w:rStyle w:val="-"/>
                <w:rFonts w:ascii="Times New Roman" w:hAnsi="Times New Roman"/>
                <w:b/>
                <w:lang w:val="en-US"/>
              </w:rPr>
              <w:t>u</w:t>
            </w:r>
            <w:r w:rsidR="00FA6B32" w:rsidRPr="00A82BE0">
              <w:rPr>
                <w:rStyle w:val="-"/>
                <w:rFonts w:ascii="Times New Roman" w:hAnsi="Times New Roman"/>
                <w:b/>
                <w:lang w:val="en-US"/>
              </w:rPr>
              <w:t>128@</w:t>
            </w:r>
            <w:r w:rsidR="00FA6B32" w:rsidRPr="00B00F7C">
              <w:rPr>
                <w:rStyle w:val="-"/>
                <w:rFonts w:ascii="Times New Roman" w:hAnsi="Times New Roman"/>
                <w:b/>
                <w:lang w:val="en-US"/>
              </w:rPr>
              <w:t>minagric</w:t>
            </w:r>
            <w:r w:rsidR="00FA6B32" w:rsidRPr="00A82BE0">
              <w:rPr>
                <w:rStyle w:val="-"/>
                <w:rFonts w:ascii="Times New Roman" w:hAnsi="Times New Roman"/>
                <w:b/>
                <w:lang w:val="en-US"/>
              </w:rPr>
              <w:t>.</w:t>
            </w:r>
            <w:r w:rsidR="00FA6B32" w:rsidRPr="00B00F7C">
              <w:rPr>
                <w:rStyle w:val="-"/>
                <w:rFonts w:ascii="Times New Roman" w:hAnsi="Times New Roman"/>
                <w:b/>
                <w:lang w:val="en-US"/>
              </w:rPr>
              <w:t>gr</w:t>
            </w:r>
            <w:r>
              <w:fldChar w:fldCharType="end"/>
            </w:r>
          </w:p>
        </w:tc>
      </w:tr>
    </w:tbl>
    <w:p w:rsidR="00FA6B32" w:rsidRPr="00F775C1" w:rsidRDefault="00D434C3" w:rsidP="00A82BE0">
      <w:pPr>
        <w:spacing w:before="80" w:after="60"/>
        <w:ind w:left="5954"/>
        <w:jc w:val="both"/>
        <w:rPr>
          <w:rFonts w:ascii="Times New Roman" w:hAnsi="Times New Roman"/>
          <w:b/>
          <w:sz w:val="28"/>
          <w:szCs w:val="28"/>
        </w:rPr>
      </w:pPr>
      <w:r w:rsidRPr="00A82BE0">
        <w:rPr>
          <w:rFonts w:ascii="Times New Roman" w:hAnsi="Times New Roman"/>
          <w:b/>
          <w:color w:val="221F1F"/>
          <w:w w:val="80"/>
          <w:sz w:val="28"/>
          <w:szCs w:val="28"/>
          <w:lang w:val="en-US"/>
        </w:rPr>
        <w:t xml:space="preserve"> </w:t>
      </w:r>
      <w:r>
        <w:rPr>
          <w:rFonts w:ascii="Times New Roman" w:hAnsi="Times New Roman"/>
          <w:b/>
          <w:color w:val="221F1F"/>
          <w:w w:val="80"/>
          <w:sz w:val="28"/>
          <w:szCs w:val="28"/>
          <w:lang w:val="en-US"/>
        </w:rPr>
        <w:t xml:space="preserve">                          </w:t>
      </w:r>
      <w:r w:rsidR="00A82BE0">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sidR="00823889">
        <w:rPr>
          <w:rFonts w:ascii="Times New Roman" w:hAnsi="Times New Roman"/>
          <w:b/>
          <w:color w:val="221F1F"/>
          <w:w w:val="80"/>
          <w:sz w:val="28"/>
          <w:szCs w:val="28"/>
        </w:rPr>
        <w:t>9</w:t>
      </w:r>
      <w:r w:rsidR="001D09FF" w:rsidRPr="00F775C1">
        <w:rPr>
          <w:rFonts w:ascii="Times New Roman" w:hAnsi="Times New Roman"/>
          <w:b/>
          <w:color w:val="221F1F"/>
          <w:w w:val="80"/>
          <w:sz w:val="28"/>
          <w:szCs w:val="28"/>
        </w:rPr>
        <w:t>-</w:t>
      </w:r>
      <w:r w:rsidR="00521190">
        <w:rPr>
          <w:rFonts w:ascii="Times New Roman" w:hAnsi="Times New Roman"/>
          <w:b/>
          <w:color w:val="221F1F"/>
          <w:w w:val="80"/>
          <w:sz w:val="28"/>
          <w:szCs w:val="28"/>
        </w:rPr>
        <w:t>2</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521190" w:rsidRPr="00823889" w:rsidRDefault="005D1192" w:rsidP="00A82BE0">
      <w:pPr>
        <w:spacing w:after="120"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w:t>
      </w:r>
      <w:r w:rsidR="00B33BE3" w:rsidRPr="005D1192">
        <w:rPr>
          <w:rFonts w:ascii="Times New Roman" w:hAnsi="Times New Roman"/>
          <w:b/>
          <w:color w:val="1F497D"/>
          <w:sz w:val="28"/>
          <w:szCs w:val="28"/>
        </w:rPr>
        <w:t>Ο ΤΥΠΟΥ</w:t>
      </w:r>
    </w:p>
    <w:p w:rsidR="00823889" w:rsidRPr="00823889" w:rsidRDefault="00823889" w:rsidP="00823889">
      <w:pPr>
        <w:shd w:val="clear" w:color="auto" w:fill="FFFFFF"/>
        <w:spacing w:after="120" w:line="275" w:lineRule="atLeast"/>
        <w:jc w:val="center"/>
        <w:rPr>
          <w:rFonts w:ascii="Calibri" w:eastAsia="Times New Roman" w:hAnsi="Calibri" w:cs="Calibri"/>
          <w:color w:val="222222"/>
          <w:kern w:val="0"/>
          <w:sz w:val="22"/>
          <w:szCs w:val="22"/>
          <w:lang w:eastAsia="el-GR"/>
        </w:rPr>
      </w:pPr>
      <w:r w:rsidRPr="00823889">
        <w:rPr>
          <w:rFonts w:ascii="Calibri" w:eastAsia="Times New Roman" w:hAnsi="Calibri" w:cs="Calibri"/>
          <w:b/>
          <w:bCs/>
          <w:color w:val="222222"/>
          <w:kern w:val="0"/>
          <w:sz w:val="22"/>
          <w:szCs w:val="22"/>
          <w:lang w:eastAsia="el-GR"/>
        </w:rPr>
        <w:t>Τα βοσκοτόπια της οργής – επιστολή ΠΟΓΕΔΥ στην ΑΑΔΕ για τις επαναλαμβανόμενες «αστοχίες»</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Τα στοιχεία που αποκαλύπτονται για τις πληρωμές ενισχύσεων βοσκοτόπων του έτους 2025 δεν αφήνουν πλέον περιθώρια για υπεκφυγές. Για ακόμη μία φορά, η δημόσια συζήτηση δεν μπορεί να κρυφτεί πίσω από τον όρο «διοικητικές αστοχίες». Όμως όταν οι αστοχίες επαναλαμβάνονται με την ίδια δομή και τα ίδια αποτελέσματα, παύουν να είναι τεχνικές και αποκτούν σαφές πολιτικό αποτύπωμα.</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Στον πρωτογενή τομέα είναι πλέον κοινό μυστικό ότι υπάρχει σοβαρή και διαρκής απόκλιση ανάμεσα στους πραγματικούς κτηνοτρόφους και στα ΑΦΜ που εμφανίζονται να απολαμβάνουν κοινοτικές ενισχύσεις. Η απόκλιση αυτή δεν μπορεί να εξηγηθεί ούτε με λάθη πληκτρολόγησης, ούτε με «ατελή συστήματα», ούτε με υπηρεσιακές παραλείψεις χαμηλού επιπέδου.</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 xml:space="preserve">Η ΠΟΓΕΔΥ, ως θεσμικός εκπρόσωπος των γεωτεχνικών επιστημόνων του Δημοσίου, βρίσκεται καθημερινά αντιμέτωπη με κύμα αναφορών από την περιφέρεια. Για τον λόγο αυτό απέστειλε σήμερα </w:t>
      </w:r>
      <w:hyperlink r:id="rId5" w:history="1">
        <w:r w:rsidRPr="007674CF">
          <w:rPr>
            <w:rStyle w:val="-"/>
            <w:rFonts w:asciiTheme="minorHAnsi" w:eastAsia="Times New Roman" w:hAnsiTheme="minorHAnsi" w:cstheme="minorHAnsi"/>
            <w:kern w:val="0"/>
            <w:sz w:val="22"/>
            <w:szCs w:val="22"/>
            <w:lang w:eastAsia="el-GR"/>
          </w:rPr>
          <w:t>επίσημη επιστολή προς την ΑΑΔΕ</w:t>
        </w:r>
      </w:hyperlink>
      <w:r w:rsidRPr="00823889">
        <w:rPr>
          <w:rFonts w:asciiTheme="minorHAnsi" w:eastAsia="Times New Roman" w:hAnsiTheme="minorHAnsi" w:cstheme="minorHAnsi"/>
          <w:color w:val="222222"/>
          <w:kern w:val="0"/>
          <w:sz w:val="22"/>
          <w:szCs w:val="22"/>
          <w:lang w:eastAsia="el-GR"/>
        </w:rPr>
        <w:t>, απαιτώντας δημόσια και τεκμηριωμένη απάντηση για το ποιοι και πόσοι πληρώθηκαν, με ποια δηλωθέντα ζώα και ποια τιμολόγια ανά γεωγραφικό διαμέρισμα, και για το ποιος είχε την ευθύνη και την εποπτεία της κατανομής των βοσκοτόπων.</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Διότι η κατανομή των βοσκοτόπων δεν υπήρξε μια απλή υπηρεσιακή πράξη ρουτίνας. Παρουσιάστηκε ως κομβικό στοιχείο μιας μεγάλης «μεταρρύθμισης», η οποία σύμφωνα με τις ίδιες τις κυβερνητικές εξαγγελίες τελούσε υπό κεντρική πολιτική καθοδήγηση και τεχνική υποστήριξη εξωτερικών συμβούλων διεθνούς βεληνεκούς, με έντονο γαλλόφωνο αποτύπωμα και άμεση διασύνδεση με τον πυρήνα του κυβερνητικού συντονισμού.</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Η ΠΟΓΕΔΥ </w:t>
      </w:r>
      <w:r w:rsidRPr="00823889">
        <w:rPr>
          <w:rFonts w:asciiTheme="minorHAnsi" w:eastAsia="Times New Roman" w:hAnsiTheme="minorHAnsi" w:cstheme="minorHAnsi"/>
          <w:b/>
          <w:bCs/>
          <w:color w:val="222222"/>
          <w:kern w:val="0"/>
          <w:sz w:val="22"/>
          <w:szCs w:val="22"/>
          <w:lang w:eastAsia="el-GR"/>
        </w:rPr>
        <w:t>αρνείται να δεχθεί</w:t>
      </w:r>
      <w:r w:rsidRPr="00823889">
        <w:rPr>
          <w:rFonts w:asciiTheme="minorHAnsi" w:eastAsia="Times New Roman" w:hAnsiTheme="minorHAnsi" w:cstheme="minorHAnsi"/>
          <w:color w:val="222222"/>
          <w:kern w:val="0"/>
          <w:sz w:val="22"/>
          <w:szCs w:val="22"/>
          <w:lang w:eastAsia="el-GR"/>
        </w:rPr>
        <w:t> ότι οι σημερινές αποκαλύψεις μπορεί να συνδέονται με εποπτεία αυτού του επιπέδου. Διότι αν οι επαναλαμβανόμενες «αστοχίες» στα βοσκοτόπια συνέβησαν υπό τέτοια πολιτική σκέπη, τότε δεν μιλάμε για αδυναμία εφαρμογής, αλλά για πλήρη αποτυχία της ίδιας της μεταρρύθμισης. Και μια τέτοια αποτυχία δεν εκθέτει μόνο υπηρεσίες ή στελέχη, αλλά αγγίζει ευθέως την κυβερνητική αξιοπιστία και τη διεθνή εικόνα της χώρας.</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Η Ελλάδα δεν αντέχει άλλο ένα κεφάλαιο όπου οι ίδιες παθογένειες βαφτίζονται «εκσυγχρονισμός» και οι ίδιες πρακτικές επανεμφανίζονται ως «τεχνικά λάθη». Κάθε τέτοια υπόθεση βαθαίνει την κρίση εμπιστοσύνης, αδικεί τους πραγματικούς παραγωγούς και αποδυναμώνει τους ελεγκτικούς μηχανισμούς του Δημοσίου.</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Η διαφάνεια δεν είναι πρόβλημα. Είναι η τελευταία γραμμή άμυνας της πολιτικής αξιοπιστίας. Γι’ αυτό απαιτούνται τώρα καθαρές απαντήσεις:</w:t>
      </w:r>
    </w:p>
    <w:p w:rsidR="00823889" w:rsidRPr="00823889" w:rsidRDefault="00823889" w:rsidP="00823889">
      <w:pPr>
        <w:shd w:val="clear" w:color="auto" w:fill="FFFFFF"/>
        <w:spacing w:after="80" w:line="275" w:lineRule="atLeast"/>
        <w:ind w:left="720"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w:t>
      </w:r>
      <w:r w:rsidRPr="00823889">
        <w:rPr>
          <w:rFonts w:asciiTheme="minorHAnsi" w:eastAsia="Times New Roman" w:hAnsiTheme="minorHAnsi" w:cstheme="minorHAnsi"/>
          <w:color w:val="222222"/>
          <w:kern w:val="0"/>
          <w:sz w:val="14"/>
          <w:szCs w:val="14"/>
          <w:lang w:eastAsia="el-GR"/>
        </w:rPr>
        <w:t>        </w:t>
      </w:r>
      <w:r w:rsidRPr="00823889">
        <w:rPr>
          <w:rFonts w:asciiTheme="minorHAnsi" w:eastAsia="Times New Roman" w:hAnsiTheme="minorHAnsi" w:cstheme="minorHAnsi"/>
          <w:color w:val="222222"/>
          <w:kern w:val="0"/>
          <w:sz w:val="22"/>
          <w:szCs w:val="22"/>
          <w:lang w:eastAsia="el-GR"/>
        </w:rPr>
        <w:t>ποιος αποφάσισε,</w:t>
      </w:r>
    </w:p>
    <w:p w:rsidR="00823889" w:rsidRPr="00823889" w:rsidRDefault="00823889" w:rsidP="00823889">
      <w:pPr>
        <w:shd w:val="clear" w:color="auto" w:fill="FFFFFF"/>
        <w:spacing w:after="80" w:line="275" w:lineRule="atLeast"/>
        <w:ind w:left="720" w:firstLine="425"/>
        <w:jc w:val="both"/>
        <w:rPr>
          <w:rFonts w:asciiTheme="minorHAnsi" w:eastAsia="Times New Roman" w:hAnsiTheme="minorHAnsi" w:cstheme="minorHAnsi"/>
          <w:color w:val="222222"/>
          <w:kern w:val="0"/>
          <w:sz w:val="22"/>
          <w:szCs w:val="22"/>
          <w:lang w:eastAsia="el-GR"/>
        </w:rPr>
      </w:pPr>
      <w:r w:rsidRPr="007674CF">
        <w:rPr>
          <w:rFonts w:asciiTheme="minorHAnsi" w:eastAsia="Times New Roman" w:hAnsiTheme="minorHAnsi" w:cstheme="minorHAnsi"/>
          <w:color w:val="222222"/>
          <w:kern w:val="0"/>
          <w:sz w:val="22"/>
          <w:szCs w:val="22"/>
          <w:lang w:eastAsia="el-GR"/>
        </w:rPr>
        <w:t>-</w:t>
      </w:r>
      <w:r w:rsidRPr="00823889">
        <w:rPr>
          <w:rFonts w:asciiTheme="minorHAnsi" w:eastAsia="Times New Roman" w:hAnsiTheme="minorHAnsi" w:cstheme="minorHAnsi"/>
          <w:color w:val="222222"/>
          <w:kern w:val="0"/>
          <w:sz w:val="14"/>
          <w:szCs w:val="14"/>
          <w:lang w:val="en-US" w:eastAsia="el-GR"/>
        </w:rPr>
        <w:t>        </w:t>
      </w:r>
      <w:proofErr w:type="gramStart"/>
      <w:r w:rsidRPr="00823889">
        <w:rPr>
          <w:rFonts w:asciiTheme="minorHAnsi" w:eastAsia="Times New Roman" w:hAnsiTheme="minorHAnsi" w:cstheme="minorHAnsi"/>
          <w:color w:val="222222"/>
          <w:kern w:val="0"/>
          <w:sz w:val="22"/>
          <w:szCs w:val="22"/>
          <w:lang w:eastAsia="el-GR"/>
        </w:rPr>
        <w:t>ποιος</w:t>
      </w:r>
      <w:proofErr w:type="gramEnd"/>
      <w:r w:rsidRPr="00823889">
        <w:rPr>
          <w:rFonts w:asciiTheme="minorHAnsi" w:eastAsia="Times New Roman" w:hAnsiTheme="minorHAnsi" w:cstheme="minorHAnsi"/>
          <w:color w:val="222222"/>
          <w:kern w:val="0"/>
          <w:sz w:val="22"/>
          <w:szCs w:val="22"/>
          <w:lang w:eastAsia="el-GR"/>
        </w:rPr>
        <w:t xml:space="preserve"> επόπτευσε, και</w:t>
      </w:r>
    </w:p>
    <w:p w:rsidR="00823889" w:rsidRPr="00823889" w:rsidRDefault="00823889" w:rsidP="00823889">
      <w:pPr>
        <w:shd w:val="clear" w:color="auto" w:fill="FFFFFF"/>
        <w:spacing w:after="80" w:line="275" w:lineRule="atLeast"/>
        <w:ind w:left="720"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w:t>
      </w:r>
      <w:r w:rsidRPr="00823889">
        <w:rPr>
          <w:rFonts w:asciiTheme="minorHAnsi" w:eastAsia="Times New Roman" w:hAnsiTheme="minorHAnsi" w:cstheme="minorHAnsi"/>
          <w:color w:val="222222"/>
          <w:kern w:val="0"/>
          <w:sz w:val="14"/>
          <w:szCs w:val="14"/>
          <w:lang w:eastAsia="el-GR"/>
        </w:rPr>
        <w:t>        </w:t>
      </w:r>
      <w:r w:rsidRPr="00823889">
        <w:rPr>
          <w:rFonts w:asciiTheme="minorHAnsi" w:eastAsia="Times New Roman" w:hAnsiTheme="minorHAnsi" w:cstheme="minorHAnsi"/>
          <w:color w:val="222222"/>
          <w:kern w:val="0"/>
          <w:sz w:val="22"/>
          <w:szCs w:val="22"/>
          <w:lang w:eastAsia="el-GR"/>
        </w:rPr>
        <w:t>αν τηρήθηκαν για όλους, χωρίς εξαιρέσεις, όσα προβλέπει η ΚΥΑ για τους βοσκοτόπους.</w:t>
      </w:r>
    </w:p>
    <w:p w:rsidR="00823889" w:rsidRPr="00823889" w:rsidRDefault="00823889" w:rsidP="00823889">
      <w:pPr>
        <w:shd w:val="clear" w:color="auto" w:fill="FFFFFF"/>
        <w:spacing w:after="80" w:line="275" w:lineRule="atLeast"/>
        <w:ind w:firstLine="425"/>
        <w:jc w:val="both"/>
        <w:rPr>
          <w:rFonts w:asciiTheme="minorHAnsi" w:eastAsia="Times New Roman" w:hAnsiTheme="minorHAnsi" w:cstheme="minorHAnsi"/>
          <w:color w:val="222222"/>
          <w:kern w:val="0"/>
          <w:sz w:val="22"/>
          <w:szCs w:val="22"/>
          <w:lang w:eastAsia="el-GR"/>
        </w:rPr>
      </w:pPr>
      <w:r w:rsidRPr="00823889">
        <w:rPr>
          <w:rFonts w:asciiTheme="minorHAnsi" w:eastAsia="Times New Roman" w:hAnsiTheme="minorHAnsi" w:cstheme="minorHAnsi"/>
          <w:color w:val="222222"/>
          <w:kern w:val="0"/>
          <w:sz w:val="22"/>
          <w:szCs w:val="22"/>
          <w:lang w:eastAsia="el-GR"/>
        </w:rPr>
        <w:t>Η ΠΟΓΕΔΥ θα συνεχίσει να παρεμβαίνει θεσμικά και δημόσια, όχι για να δημιουργήσει εντυπώσεις, αλλά για να αποτρέψει η χώρα να οδηγηθεί, για ακόμη μία φορά, σε ένα πολιτικό και θεσμικό ναυάγιο που θα βαφτιστεί εκ των υστέρων «αστοχία».</w:t>
      </w:r>
    </w:p>
    <w:p w:rsidR="00547735" w:rsidRPr="008E0262" w:rsidRDefault="00A82BE0" w:rsidP="00547735">
      <w:pPr>
        <w:spacing w:after="0" w:line="360" w:lineRule="auto"/>
        <w:ind w:left="3316" w:right="-483" w:firstLine="1004"/>
        <w:jc w:val="both"/>
        <w:rPr>
          <w:rFonts w:ascii="Calibri" w:eastAsia="Times New Roman" w:hAnsi="Calibri" w:cs="Calibri"/>
          <w:b/>
          <w:color w:val="222222"/>
          <w:kern w:val="0"/>
          <w:lang w:eastAsia="el-GR"/>
        </w:rPr>
      </w:pPr>
      <w:r w:rsidRPr="00B90226">
        <w:rPr>
          <w:rFonts w:ascii="Calibri" w:eastAsia="Times New Roman" w:hAnsi="Calibri" w:cs="Calibri"/>
          <w:b/>
          <w:color w:val="222222"/>
          <w:kern w:val="0"/>
          <w:lang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342748" cy="1219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55376" cy="1230666"/>
                    </a:xfrm>
                    <a:prstGeom prst="rect">
                      <a:avLst/>
                    </a:prstGeom>
                    <a:noFill/>
                    <a:ln w="9525">
                      <a:noFill/>
                      <a:miter lim="800000"/>
                      <a:headEnd/>
                      <a:tailEnd/>
                    </a:ln>
                  </pic:spPr>
                </pic:pic>
              </a:graphicData>
            </a:graphic>
          </wp:inline>
        </w:drawing>
      </w:r>
    </w:p>
    <w:sectPr w:rsidR="00FA6B32" w:rsidRPr="008E0262" w:rsidSect="00A82BE0">
      <w:pgSz w:w="11906" w:h="16838"/>
      <w:pgMar w:top="284" w:right="1080" w:bottom="284"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41843AF"/>
    <w:multiLevelType w:val="multilevel"/>
    <w:tmpl w:val="96F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052F0"/>
    <w:rsid w:val="000125E6"/>
    <w:rsid w:val="00013179"/>
    <w:rsid w:val="000326A1"/>
    <w:rsid w:val="00042F3B"/>
    <w:rsid w:val="00061493"/>
    <w:rsid w:val="000637C1"/>
    <w:rsid w:val="00075440"/>
    <w:rsid w:val="00076B7E"/>
    <w:rsid w:val="00083707"/>
    <w:rsid w:val="000A46BB"/>
    <w:rsid w:val="000A4C4A"/>
    <w:rsid w:val="000A70D2"/>
    <w:rsid w:val="000B1E2B"/>
    <w:rsid w:val="000D54B5"/>
    <w:rsid w:val="000E0F51"/>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46476"/>
    <w:rsid w:val="00252F24"/>
    <w:rsid w:val="0025312F"/>
    <w:rsid w:val="0025409F"/>
    <w:rsid w:val="00270CCB"/>
    <w:rsid w:val="00271917"/>
    <w:rsid w:val="0027735C"/>
    <w:rsid w:val="00282DC3"/>
    <w:rsid w:val="002A5BF6"/>
    <w:rsid w:val="002B0EB6"/>
    <w:rsid w:val="002C2411"/>
    <w:rsid w:val="002D4B4E"/>
    <w:rsid w:val="002D6297"/>
    <w:rsid w:val="002D62EB"/>
    <w:rsid w:val="002E328B"/>
    <w:rsid w:val="002E6EF5"/>
    <w:rsid w:val="002F2084"/>
    <w:rsid w:val="002F30D1"/>
    <w:rsid w:val="00301673"/>
    <w:rsid w:val="00307338"/>
    <w:rsid w:val="00367DC8"/>
    <w:rsid w:val="00386172"/>
    <w:rsid w:val="003931E5"/>
    <w:rsid w:val="003C3E1E"/>
    <w:rsid w:val="003D6B54"/>
    <w:rsid w:val="003E1E84"/>
    <w:rsid w:val="003E4A11"/>
    <w:rsid w:val="003F12B4"/>
    <w:rsid w:val="00407E9D"/>
    <w:rsid w:val="004308BC"/>
    <w:rsid w:val="00441AD8"/>
    <w:rsid w:val="004535C3"/>
    <w:rsid w:val="004578BE"/>
    <w:rsid w:val="00464C15"/>
    <w:rsid w:val="00475320"/>
    <w:rsid w:val="00476374"/>
    <w:rsid w:val="00477E7F"/>
    <w:rsid w:val="0049293B"/>
    <w:rsid w:val="00493247"/>
    <w:rsid w:val="00521190"/>
    <w:rsid w:val="00523D05"/>
    <w:rsid w:val="0053048F"/>
    <w:rsid w:val="00546306"/>
    <w:rsid w:val="00547735"/>
    <w:rsid w:val="00571246"/>
    <w:rsid w:val="0057226F"/>
    <w:rsid w:val="00572952"/>
    <w:rsid w:val="00581B7F"/>
    <w:rsid w:val="00582BC0"/>
    <w:rsid w:val="005A5F1A"/>
    <w:rsid w:val="005A625D"/>
    <w:rsid w:val="005D1192"/>
    <w:rsid w:val="005E2F74"/>
    <w:rsid w:val="005E49D6"/>
    <w:rsid w:val="00600739"/>
    <w:rsid w:val="00605285"/>
    <w:rsid w:val="006239FB"/>
    <w:rsid w:val="00624D69"/>
    <w:rsid w:val="0062621F"/>
    <w:rsid w:val="0063489E"/>
    <w:rsid w:val="00635048"/>
    <w:rsid w:val="00635F04"/>
    <w:rsid w:val="00653021"/>
    <w:rsid w:val="00654E7A"/>
    <w:rsid w:val="00656196"/>
    <w:rsid w:val="00674275"/>
    <w:rsid w:val="0068172C"/>
    <w:rsid w:val="006950AD"/>
    <w:rsid w:val="00696590"/>
    <w:rsid w:val="00697D0C"/>
    <w:rsid w:val="006B3423"/>
    <w:rsid w:val="006C70AD"/>
    <w:rsid w:val="006D145D"/>
    <w:rsid w:val="006E0D11"/>
    <w:rsid w:val="00731DD6"/>
    <w:rsid w:val="00733369"/>
    <w:rsid w:val="00744463"/>
    <w:rsid w:val="00757D95"/>
    <w:rsid w:val="0076246B"/>
    <w:rsid w:val="007674CF"/>
    <w:rsid w:val="0077207F"/>
    <w:rsid w:val="0077411D"/>
    <w:rsid w:val="0078049F"/>
    <w:rsid w:val="00781491"/>
    <w:rsid w:val="007A5A1B"/>
    <w:rsid w:val="007B6613"/>
    <w:rsid w:val="007E79D5"/>
    <w:rsid w:val="00805C0A"/>
    <w:rsid w:val="008127A1"/>
    <w:rsid w:val="00823889"/>
    <w:rsid w:val="00843459"/>
    <w:rsid w:val="00856B89"/>
    <w:rsid w:val="00870E45"/>
    <w:rsid w:val="008A0FE4"/>
    <w:rsid w:val="008B6920"/>
    <w:rsid w:val="008C4696"/>
    <w:rsid w:val="008E0262"/>
    <w:rsid w:val="008F0CF3"/>
    <w:rsid w:val="009205F8"/>
    <w:rsid w:val="0093149F"/>
    <w:rsid w:val="00934819"/>
    <w:rsid w:val="0095620E"/>
    <w:rsid w:val="009830F5"/>
    <w:rsid w:val="00983A6F"/>
    <w:rsid w:val="009870D8"/>
    <w:rsid w:val="00990A98"/>
    <w:rsid w:val="00994BCD"/>
    <w:rsid w:val="009A062D"/>
    <w:rsid w:val="009B27CD"/>
    <w:rsid w:val="009C3C3D"/>
    <w:rsid w:val="009E2D88"/>
    <w:rsid w:val="00A1224F"/>
    <w:rsid w:val="00A1489E"/>
    <w:rsid w:val="00A47C00"/>
    <w:rsid w:val="00A71018"/>
    <w:rsid w:val="00A7314C"/>
    <w:rsid w:val="00A82BE0"/>
    <w:rsid w:val="00A84EE8"/>
    <w:rsid w:val="00A94C86"/>
    <w:rsid w:val="00AC1BE4"/>
    <w:rsid w:val="00AC337A"/>
    <w:rsid w:val="00AC6A84"/>
    <w:rsid w:val="00AC7407"/>
    <w:rsid w:val="00AE3733"/>
    <w:rsid w:val="00AE620A"/>
    <w:rsid w:val="00AF6E3C"/>
    <w:rsid w:val="00B00F7C"/>
    <w:rsid w:val="00B0514A"/>
    <w:rsid w:val="00B228DE"/>
    <w:rsid w:val="00B33BE3"/>
    <w:rsid w:val="00B35ED1"/>
    <w:rsid w:val="00B42166"/>
    <w:rsid w:val="00B45086"/>
    <w:rsid w:val="00B52685"/>
    <w:rsid w:val="00B543A9"/>
    <w:rsid w:val="00B67759"/>
    <w:rsid w:val="00B87136"/>
    <w:rsid w:val="00B90226"/>
    <w:rsid w:val="00B94DD0"/>
    <w:rsid w:val="00BA445D"/>
    <w:rsid w:val="00BD3DB7"/>
    <w:rsid w:val="00BD6B05"/>
    <w:rsid w:val="00C07B0C"/>
    <w:rsid w:val="00CB1CF6"/>
    <w:rsid w:val="00D00544"/>
    <w:rsid w:val="00D02018"/>
    <w:rsid w:val="00D10A0A"/>
    <w:rsid w:val="00D37511"/>
    <w:rsid w:val="00D41F41"/>
    <w:rsid w:val="00D434C3"/>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75973">
      <w:bodyDiv w:val="1"/>
      <w:marLeft w:val="0"/>
      <w:marRight w:val="0"/>
      <w:marTop w:val="0"/>
      <w:marBottom w:val="0"/>
      <w:divBdr>
        <w:top w:val="none" w:sz="0" w:space="0" w:color="auto"/>
        <w:left w:val="none" w:sz="0" w:space="0" w:color="auto"/>
        <w:bottom w:val="none" w:sz="0" w:space="0" w:color="auto"/>
        <w:right w:val="none" w:sz="0" w:space="0" w:color="auto"/>
      </w:divBdr>
    </w:div>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04984318">
      <w:bodyDiv w:val="1"/>
      <w:marLeft w:val="0"/>
      <w:marRight w:val="0"/>
      <w:marTop w:val="0"/>
      <w:marBottom w:val="0"/>
      <w:divBdr>
        <w:top w:val="none" w:sz="0" w:space="0" w:color="auto"/>
        <w:left w:val="none" w:sz="0" w:space="0" w:color="auto"/>
        <w:bottom w:val="none" w:sz="0" w:space="0" w:color="auto"/>
        <w:right w:val="none" w:sz="0" w:space="0" w:color="auto"/>
      </w:divBdr>
      <w:divsChild>
        <w:div w:id="120196368">
          <w:marLeft w:val="0"/>
          <w:marRight w:val="0"/>
          <w:marTop w:val="0"/>
          <w:marBottom w:val="0"/>
          <w:divBdr>
            <w:top w:val="none" w:sz="0" w:space="0" w:color="auto"/>
            <w:left w:val="none" w:sz="0" w:space="0" w:color="auto"/>
            <w:bottom w:val="none" w:sz="0" w:space="0" w:color="auto"/>
            <w:right w:val="none" w:sz="0" w:space="0" w:color="auto"/>
          </w:divBdr>
          <w:divsChild>
            <w:div w:id="359207824">
              <w:marLeft w:val="0"/>
              <w:marRight w:val="0"/>
              <w:marTop w:val="0"/>
              <w:marBottom w:val="0"/>
              <w:divBdr>
                <w:top w:val="none" w:sz="0" w:space="0" w:color="auto"/>
                <w:left w:val="none" w:sz="0" w:space="0" w:color="auto"/>
                <w:bottom w:val="none" w:sz="0" w:space="0" w:color="auto"/>
                <w:right w:val="none" w:sz="0" w:space="0" w:color="auto"/>
              </w:divBdr>
              <w:divsChild>
                <w:div w:id="1012223222">
                  <w:marLeft w:val="0"/>
                  <w:marRight w:val="0"/>
                  <w:marTop w:val="120"/>
                  <w:marBottom w:val="0"/>
                  <w:divBdr>
                    <w:top w:val="none" w:sz="0" w:space="0" w:color="auto"/>
                    <w:left w:val="none" w:sz="0" w:space="0" w:color="auto"/>
                    <w:bottom w:val="none" w:sz="0" w:space="0" w:color="auto"/>
                    <w:right w:val="none" w:sz="0" w:space="0" w:color="auto"/>
                  </w:divBdr>
                  <w:divsChild>
                    <w:div w:id="189808235">
                      <w:marLeft w:val="0"/>
                      <w:marRight w:val="0"/>
                      <w:marTop w:val="0"/>
                      <w:marBottom w:val="0"/>
                      <w:divBdr>
                        <w:top w:val="none" w:sz="0" w:space="0" w:color="auto"/>
                        <w:left w:val="none" w:sz="0" w:space="0" w:color="auto"/>
                        <w:bottom w:val="none" w:sz="0" w:space="0" w:color="auto"/>
                        <w:right w:val="none" w:sz="0" w:space="0" w:color="auto"/>
                      </w:divBdr>
                      <w:divsChild>
                        <w:div w:id="482045670">
                          <w:marLeft w:val="0"/>
                          <w:marRight w:val="0"/>
                          <w:marTop w:val="0"/>
                          <w:marBottom w:val="0"/>
                          <w:divBdr>
                            <w:top w:val="none" w:sz="0" w:space="0" w:color="auto"/>
                            <w:left w:val="none" w:sz="0" w:space="0" w:color="auto"/>
                            <w:bottom w:val="none" w:sz="0" w:space="0" w:color="auto"/>
                            <w:right w:val="none" w:sz="0" w:space="0" w:color="auto"/>
                          </w:divBdr>
                          <w:divsChild>
                            <w:div w:id="2080781980">
                              <w:marLeft w:val="0"/>
                              <w:marRight w:val="0"/>
                              <w:marTop w:val="0"/>
                              <w:marBottom w:val="0"/>
                              <w:divBdr>
                                <w:top w:val="none" w:sz="0" w:space="0" w:color="auto"/>
                                <w:left w:val="none" w:sz="0" w:space="0" w:color="auto"/>
                                <w:bottom w:val="none" w:sz="0" w:space="0" w:color="auto"/>
                                <w:right w:val="none" w:sz="0" w:space="0" w:color="auto"/>
                              </w:divBdr>
                              <w:divsChild>
                                <w:div w:id="412899848">
                                  <w:marLeft w:val="0"/>
                                  <w:marRight w:val="0"/>
                                  <w:marTop w:val="0"/>
                                  <w:marBottom w:val="0"/>
                                  <w:divBdr>
                                    <w:top w:val="none" w:sz="0" w:space="0" w:color="auto"/>
                                    <w:left w:val="none" w:sz="0" w:space="0" w:color="auto"/>
                                    <w:bottom w:val="none" w:sz="0" w:space="0" w:color="auto"/>
                                    <w:right w:val="none" w:sz="0" w:space="0" w:color="auto"/>
                                  </w:divBdr>
                                  <w:divsChild>
                                    <w:div w:id="18362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20077">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274433448">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420521665">
      <w:bodyDiv w:val="1"/>
      <w:marLeft w:val="0"/>
      <w:marRight w:val="0"/>
      <w:marTop w:val="0"/>
      <w:marBottom w:val="0"/>
      <w:divBdr>
        <w:top w:val="none" w:sz="0" w:space="0" w:color="auto"/>
        <w:left w:val="none" w:sz="0" w:space="0" w:color="auto"/>
        <w:bottom w:val="none" w:sz="0" w:space="0" w:color="auto"/>
        <w:right w:val="none" w:sz="0" w:space="0" w:color="auto"/>
      </w:divBdr>
    </w:div>
    <w:div w:id="1455901562">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1856769160">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egdy.gr/%ce%b1%ce%af%cf%84%ce%b7%ce%bc%ce%b1-%ce%b4%ce%b7%ce%bc%cf%8c%cf%83%ce%b9%ce%b1%cf%82-%cf%84%ce%bf%cf%80%ce%bf%ce%b8%ce%ad%cf%84%ce%b7%cf%83%ce%b7%cf%82-%cf%84%ce%b7%cf%82-%ce%b1%ce%b1%ce%b4%ce%b5/"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548</Words>
  <Characters>2962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3503</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15</cp:revision>
  <cp:lastPrinted>2025-10-16T10:58:00Z</cp:lastPrinted>
  <dcterms:created xsi:type="dcterms:W3CDTF">2026-01-30T05:33:00Z</dcterms:created>
  <dcterms:modified xsi:type="dcterms:W3CDTF">2026-02-09T06:43:00Z</dcterms:modified>
</cp:coreProperties>
</file>