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C9076F" w14:paraId="548C24B7" w14:textId="77777777" w:rsidTr="003A62E5">
        <w:trPr>
          <w:jc w:val="center"/>
        </w:trPr>
        <w:tc>
          <w:tcPr>
            <w:tcW w:w="9923" w:type="dxa"/>
          </w:tcPr>
          <w:p w14:paraId="1FC2E520" w14:textId="77777777" w:rsidR="00C9076F" w:rsidRPr="002100BE" w:rsidRDefault="00C9076F" w:rsidP="003314B3">
            <w:pPr>
              <w:pStyle w:val="1"/>
              <w:spacing w:after="100"/>
              <w:rPr>
                <w:bCs/>
                <w:sz w:val="24"/>
              </w:rPr>
            </w:pPr>
            <w:bookmarkStart w:id="0" w:name="_Hlk213504691"/>
            <w:bookmarkEnd w:id="0"/>
            <w:r w:rsidRPr="002100BE">
              <w:rPr>
                <w:sz w:val="24"/>
              </w:rPr>
              <w:t>ΠΑΝΕΛΛΗΝΙΑ ΟΜΟΣΠΟΝΔΙΑ ΓΕΩΤΕΧΝΙΚΩΝ ΔΗΜΟΣΙΩΝ ΥΠΑΛΛΗΛΩΝ</w:t>
            </w:r>
          </w:p>
          <w:p w14:paraId="12DCB75F" w14:textId="77777777"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14:paraId="38737A93" w14:textId="77777777"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14:paraId="413222AF" w14:textId="77777777"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14:paraId="3B695FC7" w14:textId="77777777"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r w:rsidRPr="00AB599F">
              <w:rPr>
                <w:rFonts w:ascii="Times New Roman" w:hAnsi="Times New Roman"/>
                <w:bCs/>
                <w:sz w:val="24"/>
                <w:szCs w:val="24"/>
                <w:lang w:val="en-US"/>
              </w:rPr>
              <w:t>gr</w:t>
            </w:r>
          </w:p>
        </w:tc>
      </w:tr>
    </w:tbl>
    <w:p w14:paraId="1F696F01" w14:textId="77777777" w:rsidR="008278C0" w:rsidRPr="004227E0" w:rsidRDefault="008278C0" w:rsidP="008278C0">
      <w:pPr>
        <w:spacing w:line="240" w:lineRule="auto"/>
        <w:ind w:left="5760"/>
        <w:jc w:val="right"/>
        <w:rPr>
          <w:rFonts w:ascii="Times New Roman" w:hAnsi="Times New Roman"/>
          <w:b/>
          <w:bCs/>
          <w:sz w:val="6"/>
          <w:szCs w:val="6"/>
        </w:rPr>
      </w:pPr>
    </w:p>
    <w:p w14:paraId="2AD429C5" w14:textId="77777777" w:rsidR="00D52286" w:rsidRPr="00BD3DA1" w:rsidRDefault="00D52286" w:rsidP="004227E0">
      <w:pPr>
        <w:spacing w:after="0" w:line="240" w:lineRule="auto"/>
        <w:ind w:left="5761" w:right="340"/>
        <w:jc w:val="right"/>
        <w:rPr>
          <w:rFonts w:ascii="Times New Roman" w:hAnsi="Times New Roman"/>
          <w:b/>
          <w:bCs/>
          <w:sz w:val="28"/>
          <w:szCs w:val="28"/>
        </w:rPr>
      </w:pPr>
    </w:p>
    <w:p w14:paraId="28532B15" w14:textId="77777777" w:rsidR="00093D4D" w:rsidRPr="007A7482" w:rsidRDefault="000D6359" w:rsidP="004227E0">
      <w:pPr>
        <w:spacing w:after="0" w:line="240" w:lineRule="auto"/>
        <w:ind w:left="5761" w:right="340"/>
        <w:jc w:val="right"/>
        <w:rPr>
          <w:rFonts w:ascii="Times New Roman" w:hAnsi="Times New Roman"/>
          <w:b/>
          <w:bCs/>
          <w:sz w:val="28"/>
          <w:szCs w:val="28"/>
          <w:lang w:val="en-US"/>
        </w:rPr>
      </w:pPr>
      <w:r>
        <w:rPr>
          <w:rFonts w:ascii="Times New Roman" w:hAnsi="Times New Roman"/>
          <w:b/>
          <w:bCs/>
          <w:sz w:val="28"/>
          <w:szCs w:val="28"/>
        </w:rPr>
        <w:t>Αθήνα</w:t>
      </w:r>
      <w:r w:rsidR="00601FDB" w:rsidRPr="007A7482">
        <w:rPr>
          <w:rFonts w:ascii="Times New Roman" w:hAnsi="Times New Roman"/>
          <w:b/>
          <w:bCs/>
          <w:sz w:val="28"/>
          <w:szCs w:val="28"/>
          <w:lang w:val="en-US"/>
        </w:rPr>
        <w:t xml:space="preserve"> </w:t>
      </w:r>
      <w:r w:rsidR="00D30EEA" w:rsidRPr="007A7482">
        <w:rPr>
          <w:rFonts w:ascii="Times New Roman" w:hAnsi="Times New Roman"/>
          <w:b/>
          <w:bCs/>
          <w:sz w:val="28"/>
          <w:szCs w:val="28"/>
          <w:lang w:val="en-US"/>
        </w:rPr>
        <w:t xml:space="preserve"> </w:t>
      </w:r>
      <w:r w:rsidR="00142D31" w:rsidRPr="007A7482">
        <w:rPr>
          <w:rFonts w:ascii="Times New Roman" w:hAnsi="Times New Roman"/>
          <w:b/>
          <w:bCs/>
          <w:sz w:val="28"/>
          <w:szCs w:val="28"/>
          <w:lang w:val="en-US"/>
        </w:rPr>
        <w:t>22</w:t>
      </w:r>
      <w:r w:rsidR="00881E9F" w:rsidRPr="007A7482">
        <w:rPr>
          <w:rFonts w:ascii="Times New Roman" w:hAnsi="Times New Roman"/>
          <w:b/>
          <w:bCs/>
          <w:sz w:val="28"/>
          <w:szCs w:val="28"/>
          <w:lang w:val="en-US"/>
        </w:rPr>
        <w:t>-12</w:t>
      </w:r>
      <w:r w:rsidR="007759AC" w:rsidRPr="007A7482">
        <w:rPr>
          <w:rFonts w:ascii="Times New Roman" w:hAnsi="Times New Roman"/>
          <w:b/>
          <w:bCs/>
          <w:sz w:val="28"/>
          <w:szCs w:val="28"/>
          <w:lang w:val="en-US"/>
        </w:rPr>
        <w:t>-20</w:t>
      </w:r>
      <w:r w:rsidR="00490F12" w:rsidRPr="007A7482">
        <w:rPr>
          <w:rFonts w:ascii="Times New Roman" w:hAnsi="Times New Roman"/>
          <w:b/>
          <w:bCs/>
          <w:sz w:val="28"/>
          <w:szCs w:val="28"/>
          <w:lang w:val="en-US"/>
        </w:rPr>
        <w:t>25</w:t>
      </w:r>
    </w:p>
    <w:p w14:paraId="19A8872B" w14:textId="77777777" w:rsidR="00320C67" w:rsidRPr="007A7482" w:rsidRDefault="009D38D8" w:rsidP="00F704A6">
      <w:pPr>
        <w:spacing w:after="0" w:line="240" w:lineRule="auto"/>
        <w:ind w:left="5761" w:right="340"/>
        <w:jc w:val="center"/>
        <w:rPr>
          <w:rFonts w:ascii="Times New Roman" w:hAnsi="Times New Roman"/>
          <w:b/>
          <w:bCs/>
          <w:sz w:val="28"/>
          <w:szCs w:val="28"/>
          <w:lang w:val="en-US"/>
        </w:rPr>
      </w:pPr>
      <w:r w:rsidRPr="007A7482">
        <w:rPr>
          <w:rFonts w:ascii="Times New Roman" w:hAnsi="Times New Roman"/>
          <w:b/>
          <w:bCs/>
          <w:sz w:val="28"/>
          <w:szCs w:val="28"/>
          <w:lang w:val="en-US"/>
        </w:rPr>
        <w:t xml:space="preserve">                    </w:t>
      </w:r>
      <w:proofErr w:type="spellStart"/>
      <w:r w:rsidR="00F704A6">
        <w:rPr>
          <w:rFonts w:ascii="Times New Roman" w:hAnsi="Times New Roman"/>
          <w:b/>
          <w:bCs/>
          <w:sz w:val="28"/>
          <w:szCs w:val="28"/>
        </w:rPr>
        <w:t>Αρ</w:t>
      </w:r>
      <w:proofErr w:type="spellEnd"/>
      <w:r w:rsidR="00F704A6" w:rsidRPr="007A7482">
        <w:rPr>
          <w:rFonts w:ascii="Times New Roman" w:hAnsi="Times New Roman"/>
          <w:b/>
          <w:bCs/>
          <w:sz w:val="28"/>
          <w:szCs w:val="28"/>
          <w:lang w:val="en-US"/>
        </w:rPr>
        <w:t xml:space="preserve">. </w:t>
      </w:r>
      <w:proofErr w:type="spellStart"/>
      <w:r w:rsidR="00F704A6">
        <w:rPr>
          <w:rFonts w:ascii="Times New Roman" w:hAnsi="Times New Roman"/>
          <w:b/>
          <w:bCs/>
          <w:sz w:val="28"/>
          <w:szCs w:val="28"/>
        </w:rPr>
        <w:t>πρωτ</w:t>
      </w:r>
      <w:proofErr w:type="spellEnd"/>
      <w:r w:rsidR="00F704A6" w:rsidRPr="007A7482">
        <w:rPr>
          <w:rFonts w:ascii="Times New Roman" w:hAnsi="Times New Roman"/>
          <w:b/>
          <w:bCs/>
          <w:sz w:val="28"/>
          <w:szCs w:val="28"/>
          <w:lang w:val="en-US"/>
        </w:rPr>
        <w:t xml:space="preserve">. </w:t>
      </w:r>
      <w:r w:rsidR="00142D31" w:rsidRPr="007A7482">
        <w:rPr>
          <w:rFonts w:ascii="Times New Roman" w:hAnsi="Times New Roman"/>
          <w:b/>
          <w:bCs/>
          <w:sz w:val="28"/>
          <w:szCs w:val="28"/>
          <w:lang w:val="en-US"/>
        </w:rPr>
        <w:t>1702</w:t>
      </w:r>
    </w:p>
    <w:p w14:paraId="71563B7C" w14:textId="77777777" w:rsidR="00E26B4E" w:rsidRPr="007A7482" w:rsidRDefault="00E26B4E" w:rsidP="000C7053">
      <w:pPr>
        <w:ind w:left="709" w:hanging="709"/>
        <w:jc w:val="center"/>
        <w:rPr>
          <w:rFonts w:ascii="Times New Roman" w:hAnsi="Times New Roman"/>
          <w:b/>
          <w:bCs/>
          <w:sz w:val="8"/>
          <w:szCs w:val="8"/>
          <w:lang w:val="en-US"/>
        </w:rPr>
      </w:pPr>
    </w:p>
    <w:p w14:paraId="4087914D" w14:textId="77777777" w:rsidR="007A7482" w:rsidRDefault="00D52286" w:rsidP="00142D31">
      <w:pPr>
        <w:spacing w:after="160" w:line="252" w:lineRule="auto"/>
        <w:rPr>
          <w:b/>
          <w:bCs/>
          <w:i/>
          <w:iCs/>
          <w:sz w:val="32"/>
          <w:szCs w:val="32"/>
          <w:lang w:val="en-US"/>
        </w:rPr>
      </w:pPr>
      <w:r w:rsidRPr="007B4ED7">
        <w:rPr>
          <w:rFonts w:ascii="Times New Roman" w:hAnsi="Times New Roman"/>
          <w:b/>
          <w:bCs/>
          <w:sz w:val="32"/>
          <w:szCs w:val="32"/>
        </w:rPr>
        <w:t>ΘΕΜΑ</w:t>
      </w:r>
      <w:r w:rsidRPr="007A7482">
        <w:rPr>
          <w:rFonts w:ascii="Times New Roman" w:hAnsi="Times New Roman"/>
          <w:b/>
          <w:bCs/>
          <w:sz w:val="32"/>
          <w:szCs w:val="32"/>
          <w:lang w:val="en-US"/>
        </w:rPr>
        <w:t>:</w:t>
      </w:r>
      <w:r w:rsidR="007B4ED7" w:rsidRPr="007A7482">
        <w:rPr>
          <w:b/>
          <w:bCs/>
          <w:sz w:val="32"/>
          <w:szCs w:val="32"/>
          <w:lang w:val="en-US"/>
        </w:rPr>
        <w:t xml:space="preserve"> </w:t>
      </w:r>
      <w:r w:rsidR="007A7482" w:rsidRPr="007A7482">
        <w:rPr>
          <w:b/>
          <w:bCs/>
          <w:sz w:val="32"/>
          <w:szCs w:val="32"/>
          <w:lang w:val="en-US"/>
        </w:rPr>
        <w:t>INTEGRATED MASTER</w:t>
      </w:r>
    </w:p>
    <w:p w14:paraId="1434ED19" w14:textId="45AE0877" w:rsidR="00142D31" w:rsidRPr="00142D31" w:rsidRDefault="00142D31" w:rsidP="00142D31">
      <w:pPr>
        <w:spacing w:after="160" w:line="252" w:lineRule="auto"/>
        <w:rPr>
          <w:rFonts w:cs="Calibri"/>
          <w:sz w:val="32"/>
          <w:szCs w:val="32"/>
        </w:rPr>
      </w:pPr>
      <w:r w:rsidRPr="00142D31">
        <w:rPr>
          <w:rFonts w:cs="Calibri"/>
          <w:sz w:val="32"/>
          <w:szCs w:val="32"/>
        </w:rPr>
        <w:t>Προς: Πρωτοβάθμια Σωματεία – Μέλη ΠΟΓΕΔΥ</w:t>
      </w:r>
      <w:r w:rsidRPr="00142D31">
        <w:rPr>
          <w:rFonts w:cs="Calibri"/>
          <w:sz w:val="32"/>
          <w:szCs w:val="32"/>
        </w:rPr>
        <w:br/>
        <w:t>(για ενημέρωση των συναδέλφων)</w:t>
      </w:r>
    </w:p>
    <w:p w14:paraId="4D78A508" w14:textId="77777777" w:rsidR="00142D31" w:rsidRPr="00142D31" w:rsidRDefault="00142D31" w:rsidP="00142D31">
      <w:pPr>
        <w:spacing w:after="160" w:line="252" w:lineRule="auto"/>
        <w:rPr>
          <w:rFonts w:cs="Calibri"/>
          <w:sz w:val="32"/>
          <w:szCs w:val="32"/>
        </w:rPr>
      </w:pPr>
      <w:r w:rsidRPr="00142D31">
        <w:rPr>
          <w:rFonts w:cs="Calibri"/>
          <w:sz w:val="32"/>
          <w:szCs w:val="32"/>
        </w:rPr>
        <w:t> </w:t>
      </w:r>
    </w:p>
    <w:p w14:paraId="286012A7" w14:textId="77777777" w:rsidR="00142D31" w:rsidRPr="00142D31" w:rsidRDefault="00142D31" w:rsidP="00142D31">
      <w:pPr>
        <w:spacing w:after="160" w:line="252" w:lineRule="auto"/>
        <w:rPr>
          <w:rFonts w:cs="Calibri"/>
          <w:sz w:val="32"/>
          <w:szCs w:val="32"/>
        </w:rPr>
      </w:pPr>
      <w:r w:rsidRPr="00142D31">
        <w:rPr>
          <w:rFonts w:cs="Calibri"/>
          <w:sz w:val="32"/>
          <w:szCs w:val="32"/>
        </w:rPr>
        <w:t>Αγαπητοί συνάδελφοι,</w:t>
      </w:r>
    </w:p>
    <w:p w14:paraId="08B855FB" w14:textId="77777777" w:rsidR="00142D31" w:rsidRPr="00142D31" w:rsidRDefault="00142D31" w:rsidP="00F53510">
      <w:pPr>
        <w:spacing w:after="160" w:line="252" w:lineRule="auto"/>
        <w:jc w:val="both"/>
        <w:rPr>
          <w:rFonts w:cs="Calibri"/>
          <w:sz w:val="32"/>
          <w:szCs w:val="32"/>
        </w:rPr>
      </w:pPr>
      <w:bookmarkStart w:id="1" w:name="_Hlk217337158"/>
      <w:r w:rsidRPr="00142D31">
        <w:rPr>
          <w:rFonts w:cs="Calibri"/>
          <w:sz w:val="32"/>
          <w:szCs w:val="32"/>
        </w:rPr>
        <w:t>Η ΠΟΓΕΔΥ παρακολουθεί με ιδιαίτερη προσοχή τις εξελίξεις που αφορούν τη μισθολογική αντιμετώπιση των συναδέλφων γεωτεχνικών σε συνάρτηση με τους τίτλους σπουδών που κατέχουν, ιδίως μετά τις πρόσφατες νομοθετικές ρυθμίσεις που προβλέπουν δυνατότητες μισθολογικής εξέλιξης λόγω ακαδημαϊκών προσόντων.</w:t>
      </w:r>
    </w:p>
    <w:p w14:paraId="22C73256" w14:textId="77777777" w:rsidR="00142D31" w:rsidRPr="00142D31" w:rsidRDefault="00142D31" w:rsidP="00F53510">
      <w:pPr>
        <w:spacing w:after="160" w:line="252" w:lineRule="auto"/>
        <w:jc w:val="both"/>
        <w:rPr>
          <w:rFonts w:cs="Calibri"/>
          <w:sz w:val="32"/>
          <w:szCs w:val="32"/>
        </w:rPr>
      </w:pPr>
      <w:r w:rsidRPr="00142D31">
        <w:rPr>
          <w:rFonts w:cs="Calibri"/>
          <w:sz w:val="32"/>
          <w:szCs w:val="32"/>
        </w:rPr>
        <w:t>Παρά το γεγονός ότι το θεσμικό πλαίσιο εισάγει ρυθμίσεις που, κατ’ αρχήν, κινούνται προς τη σωστή κατεύθυνση της αναγνώρισης της επιστημονικής κατάρτισης, στην πράξη καταγράφεται έντονη ανομοιογένεια στην εφαρμογή τους. Υπηρεσίες μισθοδοσίας και διοίκησης προσεγγίζουν το ίδιο ζήτημα με διαφορετικά κριτήρια, δημιουργώντας άνιση μεταχείριση μεταξύ συναδέλφων που βρίσκονται σε όμοιες ή απολύτως συγκρίσιμες συνθήκες.</w:t>
      </w:r>
    </w:p>
    <w:p w14:paraId="4EE2D0E7" w14:textId="77777777" w:rsidR="00142D31" w:rsidRPr="00142D31" w:rsidRDefault="00142D31" w:rsidP="00F53510">
      <w:pPr>
        <w:spacing w:after="160" w:line="252" w:lineRule="auto"/>
        <w:jc w:val="both"/>
        <w:rPr>
          <w:rFonts w:cs="Calibri"/>
          <w:sz w:val="32"/>
          <w:szCs w:val="32"/>
        </w:rPr>
      </w:pPr>
      <w:r w:rsidRPr="00142D31">
        <w:rPr>
          <w:rFonts w:cs="Calibri"/>
          <w:sz w:val="32"/>
          <w:szCs w:val="32"/>
        </w:rPr>
        <w:t>Ιδιαίτερη ανησυχία προκαλεί το γεγονός ότι σε ορισμένες περιπτώσεις τίθενται αυθαίρετοι αποκλεισμοί συναδέλφων, είτε λόγω του τρόπου απόκτησης του τίτλου σπουδών είτε λόγω προηγούμενης μισθολογικής αναγνώρισης άλλων προσόντων. Τέτοιες πρακτικές, πέραν του ότι δεν εδράζονται σε σαφή και ρητή νομοθετική πρόβλεψη, δημιουργούν σοβαρά ζητήματα συμβατότητας με τις αρχές της ισότητας, της ίσης μεταχείρισης και της διοικητικής νομιμότητας.</w:t>
      </w:r>
    </w:p>
    <w:p w14:paraId="6E750894" w14:textId="77777777" w:rsidR="00142D31" w:rsidRPr="00142D31" w:rsidRDefault="00142D31" w:rsidP="00F53510">
      <w:pPr>
        <w:spacing w:after="160" w:line="252" w:lineRule="auto"/>
        <w:jc w:val="both"/>
        <w:rPr>
          <w:rFonts w:cs="Calibri"/>
          <w:sz w:val="32"/>
          <w:szCs w:val="32"/>
        </w:rPr>
      </w:pPr>
      <w:r w:rsidRPr="00142D31">
        <w:rPr>
          <w:rFonts w:cs="Calibri"/>
          <w:sz w:val="32"/>
          <w:szCs w:val="32"/>
        </w:rPr>
        <w:t xml:space="preserve">Η ΠΟΓΕΔΥ θεωρεί αυτονόητο ότι η επιστημονική εκπαίδευση που αποτέλεσε ή συνδέεται άμεσα με το βασικό προσόν πρόσβασης στον κλάδο, η ακαδημαϊκή αναβάθμιση των σπουδών που έχει θεσμικά αναγνωριστεί από την Πολιτεία, καθώς και η ύπαρξη πρόσθετων τίτλων μεταπτυχιακού επιπέδου, οφείλουν να αντιμετωπίζονται με ενιαίο, διαφανή και καθολικό </w:t>
      </w:r>
      <w:r w:rsidRPr="00142D31">
        <w:rPr>
          <w:rFonts w:cs="Calibri"/>
          <w:sz w:val="32"/>
          <w:szCs w:val="32"/>
        </w:rPr>
        <w:lastRenderedPageBreak/>
        <w:t xml:space="preserve">τρόπο στο μισθολογικό πεδίο, χωρίς αποσπασματικές ερμηνείες και χωρίς εξαιρέσεις που δεν προβλέπονται ρητά από τον νόμο. </w:t>
      </w:r>
    </w:p>
    <w:p w14:paraId="1AD70DBA" w14:textId="77777777" w:rsidR="00142D31" w:rsidRPr="00142D31" w:rsidRDefault="00142D31" w:rsidP="00F53510">
      <w:pPr>
        <w:spacing w:after="160" w:line="252" w:lineRule="auto"/>
        <w:jc w:val="both"/>
        <w:rPr>
          <w:rFonts w:cs="Calibri"/>
          <w:sz w:val="32"/>
          <w:szCs w:val="32"/>
        </w:rPr>
      </w:pPr>
      <w:r w:rsidRPr="00142D31">
        <w:rPr>
          <w:rFonts w:cs="Calibri"/>
          <w:sz w:val="32"/>
          <w:szCs w:val="32"/>
        </w:rPr>
        <w:t>Στο πλαίσιο αυτό, η Ομοσπονδία μας επεξεργάζεται τις αναγκαίες θεσμικές και νομικές παρεμβάσεις.  </w:t>
      </w:r>
      <w:r w:rsidRPr="00142D31">
        <w:rPr>
          <w:rFonts w:cs="Calibri"/>
          <w:b/>
          <w:bCs/>
          <w:sz w:val="32"/>
          <w:szCs w:val="32"/>
        </w:rPr>
        <w:t xml:space="preserve">Παράλληλα, καλούμε τους συναδέλφους να προβούν σε άμεση υποβολή αιτήσεων, εντός του μηνός Δεκεμβρίου 2025, οι οποίοι ανήκουν στις εξής κατηγορίες: </w:t>
      </w:r>
    </w:p>
    <w:p w14:paraId="47366B11" w14:textId="77777777" w:rsidR="00142D31" w:rsidRPr="00142D31" w:rsidRDefault="00142D31" w:rsidP="00F53510">
      <w:pPr>
        <w:spacing w:after="160" w:line="252" w:lineRule="auto"/>
        <w:jc w:val="both"/>
        <w:rPr>
          <w:rFonts w:cs="Calibri"/>
          <w:sz w:val="32"/>
          <w:szCs w:val="32"/>
        </w:rPr>
      </w:pPr>
      <w:r w:rsidRPr="00142D31">
        <w:rPr>
          <w:rFonts w:cs="Calibri"/>
          <w:b/>
          <w:bCs/>
          <w:sz w:val="32"/>
          <w:szCs w:val="32"/>
        </w:rPr>
        <w:t xml:space="preserve">(α) Κάτοχοι τίτλων αλλοδαπής </w:t>
      </w:r>
    </w:p>
    <w:p w14:paraId="0DB6447E" w14:textId="77777777" w:rsidR="00142D31" w:rsidRPr="00142D31" w:rsidRDefault="00142D31" w:rsidP="00F53510">
      <w:pPr>
        <w:spacing w:after="160" w:line="252" w:lineRule="auto"/>
        <w:jc w:val="both"/>
        <w:rPr>
          <w:rFonts w:cs="Calibri"/>
          <w:sz w:val="32"/>
          <w:szCs w:val="32"/>
        </w:rPr>
      </w:pPr>
      <w:r w:rsidRPr="00142D31">
        <w:rPr>
          <w:rFonts w:cs="Calibri"/>
          <w:b/>
          <w:bCs/>
          <w:sz w:val="32"/>
          <w:szCs w:val="32"/>
        </w:rPr>
        <w:t xml:space="preserve">(β) Ήδη κάτοχοι μεταπτυχιακού τίτλου σπουδών που έχει αναγνωρισθεί μισθολογικά.  </w:t>
      </w:r>
    </w:p>
    <w:p w14:paraId="246E5D08" w14:textId="77777777" w:rsidR="00142D31" w:rsidRPr="00142D31" w:rsidRDefault="00142D31" w:rsidP="00F53510">
      <w:pPr>
        <w:spacing w:after="160" w:line="252" w:lineRule="auto"/>
        <w:jc w:val="both"/>
        <w:rPr>
          <w:rFonts w:cs="Calibri"/>
          <w:sz w:val="32"/>
          <w:szCs w:val="32"/>
        </w:rPr>
      </w:pPr>
      <w:r w:rsidRPr="00142D31">
        <w:rPr>
          <w:rFonts w:cs="Calibri"/>
          <w:sz w:val="32"/>
          <w:szCs w:val="32"/>
        </w:rPr>
        <w:t>για τη διασφάλιση των δικαιωμάτων τους, προκειμένου να μην τίθενται ζητήματα απώλειας αξιώσεων λόγω παρέλευσης προθεσμιών.</w:t>
      </w:r>
    </w:p>
    <w:p w14:paraId="38F3CBC8" w14:textId="77777777" w:rsidR="00142D31" w:rsidRPr="00142D31" w:rsidRDefault="00142D31" w:rsidP="00F53510">
      <w:pPr>
        <w:spacing w:after="160" w:line="252" w:lineRule="auto"/>
        <w:jc w:val="both"/>
        <w:rPr>
          <w:rFonts w:cs="Calibri"/>
          <w:sz w:val="32"/>
          <w:szCs w:val="32"/>
        </w:rPr>
      </w:pPr>
      <w:r w:rsidRPr="00142D31">
        <w:rPr>
          <w:rFonts w:cs="Calibri"/>
          <w:sz w:val="32"/>
          <w:szCs w:val="32"/>
        </w:rPr>
        <w:t>Σε περίπτωση άρνησης ή παράλειψης της Διοίκησης να εφαρμόσει ορθά και καθολικά το ισχύον πλαίσιο, η ΠΟΓΕΔΥ θα εξετάσει τη στήριξη συντονισμένων ενεργειών, συμπεριλαμβανομένων και ένδικων μέσων, με στόχο την αποκατάσταση της νομιμότητας και την ισότιμη μεταχείριση όλων των συναδέλφων.</w:t>
      </w:r>
    </w:p>
    <w:p w14:paraId="7BDD8341" w14:textId="77777777" w:rsidR="00142D31" w:rsidRPr="00142D31" w:rsidRDefault="00142D31" w:rsidP="00F53510">
      <w:pPr>
        <w:spacing w:after="160" w:line="252" w:lineRule="auto"/>
        <w:jc w:val="both"/>
        <w:rPr>
          <w:rFonts w:cs="Calibri"/>
          <w:sz w:val="32"/>
          <w:szCs w:val="32"/>
        </w:rPr>
      </w:pPr>
      <w:r w:rsidRPr="00142D31">
        <w:rPr>
          <w:rFonts w:cs="Calibri"/>
          <w:sz w:val="32"/>
          <w:szCs w:val="32"/>
        </w:rPr>
        <w:t>Για κάθε νεότερη εξέλιξη, καθώς και για συγκεκριμένες οδηγίες θα υπάρξει άμεση και αναλυτική ενημέρωση.</w:t>
      </w:r>
    </w:p>
    <w:bookmarkEnd w:id="1"/>
    <w:p w14:paraId="7C015F61" w14:textId="77777777" w:rsidR="003111D6" w:rsidRDefault="003111D6" w:rsidP="00142D31">
      <w:pPr>
        <w:spacing w:after="0" w:line="360" w:lineRule="atLeast"/>
        <w:jc w:val="center"/>
        <w:textAlignment w:val="baseline"/>
        <w:rPr>
          <w:rFonts w:ascii="Tahoma" w:eastAsia="Times New Roman" w:hAnsi="Tahoma" w:cs="Tahoma"/>
          <w:b/>
          <w:bCs/>
          <w:sz w:val="26"/>
          <w:szCs w:val="26"/>
          <w:bdr w:val="none" w:sz="0" w:space="0" w:color="auto" w:frame="1"/>
          <w:lang w:eastAsia="el-GR"/>
        </w:rPr>
      </w:pPr>
    </w:p>
    <w:p w14:paraId="5BB4F55C" w14:textId="77777777" w:rsidR="003111D6" w:rsidRPr="00D203CC" w:rsidRDefault="003111D6" w:rsidP="003111D6">
      <w:pPr>
        <w:spacing w:after="0" w:line="360" w:lineRule="atLeast"/>
        <w:ind w:firstLine="720"/>
        <w:jc w:val="both"/>
        <w:textAlignment w:val="baseline"/>
        <w:rPr>
          <w:rFonts w:ascii="Tahoma" w:eastAsia="Times New Roman" w:hAnsi="Tahoma" w:cs="Tahoma"/>
          <w:b/>
          <w:bCs/>
          <w:sz w:val="26"/>
          <w:szCs w:val="26"/>
          <w:bdr w:val="none" w:sz="0" w:space="0" w:color="auto" w:frame="1"/>
          <w:lang w:eastAsia="el-GR"/>
        </w:rPr>
      </w:pPr>
      <w:r>
        <w:rPr>
          <w:rFonts w:ascii="Tahoma" w:eastAsia="Times New Roman" w:hAnsi="Tahoma" w:cs="Tahoma"/>
          <w:b/>
          <w:bCs/>
          <w:sz w:val="26"/>
          <w:szCs w:val="26"/>
          <w:bdr w:val="none" w:sz="0" w:space="0" w:color="auto" w:frame="1"/>
          <w:lang w:eastAsia="el-GR"/>
        </w:rPr>
        <w:t xml:space="preserve">                           </w:t>
      </w:r>
    </w:p>
    <w:p w14:paraId="4835C4A1" w14:textId="77777777" w:rsidR="003111D6" w:rsidRDefault="00142D31" w:rsidP="003111D6">
      <w:pPr>
        <w:spacing w:after="0" w:line="360" w:lineRule="atLeast"/>
        <w:jc w:val="both"/>
        <w:textAlignment w:val="baseline"/>
        <w:rPr>
          <w:rFonts w:ascii="Tahoma" w:eastAsia="Times New Roman" w:hAnsi="Tahoma" w:cs="Tahoma"/>
          <w:b/>
          <w:bCs/>
          <w:sz w:val="26"/>
          <w:szCs w:val="26"/>
          <w:bdr w:val="none" w:sz="0" w:space="0" w:color="auto" w:frame="1"/>
          <w:lang w:eastAsia="el-GR"/>
        </w:rPr>
      </w:pPr>
      <w:r>
        <w:rPr>
          <w:rFonts w:ascii="Tahoma" w:eastAsia="Times New Roman" w:hAnsi="Tahoma" w:cs="Tahoma"/>
          <w:b/>
          <w:bCs/>
          <w:noProof/>
          <w:sz w:val="26"/>
          <w:szCs w:val="26"/>
          <w:lang w:eastAsia="el-GR"/>
        </w:rPr>
        <w:drawing>
          <wp:anchor distT="0" distB="0" distL="114300" distR="114300" simplePos="0" relativeHeight="251658240" behindDoc="0" locked="0" layoutInCell="1" allowOverlap="1" wp14:anchorId="6F714317" wp14:editId="6727C8A8">
            <wp:simplePos x="0" y="0"/>
            <wp:positionH relativeFrom="margin">
              <wp:posOffset>2157730</wp:posOffset>
            </wp:positionH>
            <wp:positionV relativeFrom="margin">
              <wp:posOffset>5318760</wp:posOffset>
            </wp:positionV>
            <wp:extent cx="1570990" cy="1407160"/>
            <wp:effectExtent l="19050" t="0" r="0" b="0"/>
            <wp:wrapSquare wrapText="bothSides"/>
            <wp:doc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κίτσο/σχέδιο, ζωγραφιά, γραμματοσειρά&#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70990" cy="1407160"/>
                    </a:xfrm>
                    <a:prstGeom prst="rect">
                      <a:avLst/>
                    </a:prstGeom>
                    <a:noFill/>
                    <a:ln>
                      <a:noFill/>
                    </a:ln>
                  </pic:spPr>
                </pic:pic>
              </a:graphicData>
            </a:graphic>
          </wp:anchor>
        </w:drawing>
      </w:r>
      <w:r w:rsidR="003111D6">
        <w:rPr>
          <w:rFonts w:ascii="Tahoma" w:eastAsia="Times New Roman" w:hAnsi="Tahoma" w:cs="Tahoma"/>
          <w:b/>
          <w:bCs/>
          <w:sz w:val="26"/>
          <w:szCs w:val="26"/>
          <w:bdr w:val="none" w:sz="0" w:space="0" w:color="auto" w:frame="1"/>
          <w:lang w:eastAsia="el-GR"/>
        </w:rPr>
        <w:t xml:space="preserve">         </w:t>
      </w:r>
      <w:r w:rsidR="003111D6" w:rsidRPr="00D203CC">
        <w:rPr>
          <w:rFonts w:ascii="Tahoma" w:eastAsia="Times New Roman" w:hAnsi="Tahoma" w:cs="Tahoma"/>
          <w:b/>
          <w:bCs/>
          <w:sz w:val="26"/>
          <w:szCs w:val="26"/>
          <w:bdr w:val="none" w:sz="0" w:space="0" w:color="auto" w:frame="1"/>
          <w:lang w:eastAsia="el-GR"/>
        </w:rPr>
        <w:t>Ο ΠΡΟΕΔΡΟΣ                                        Ο ΓΕΝΙΚΟΣ ΓΡΑΜΜΑΤΕΑΣ</w:t>
      </w:r>
    </w:p>
    <w:p w14:paraId="51C53824" w14:textId="77777777" w:rsidR="003111D6" w:rsidRDefault="003111D6" w:rsidP="003111D6">
      <w:pPr>
        <w:spacing w:after="0" w:line="360" w:lineRule="atLeast"/>
        <w:ind w:firstLine="720"/>
        <w:jc w:val="both"/>
        <w:textAlignment w:val="baseline"/>
        <w:rPr>
          <w:rFonts w:ascii="Tahoma" w:eastAsia="Times New Roman" w:hAnsi="Tahoma" w:cs="Tahoma"/>
          <w:b/>
          <w:bCs/>
          <w:sz w:val="26"/>
          <w:szCs w:val="26"/>
          <w:bdr w:val="none" w:sz="0" w:space="0" w:color="auto" w:frame="1"/>
          <w:lang w:eastAsia="el-GR"/>
        </w:rPr>
      </w:pPr>
    </w:p>
    <w:p w14:paraId="1607AD40" w14:textId="77777777" w:rsidR="003111D6" w:rsidRDefault="003111D6" w:rsidP="003111D6">
      <w:pPr>
        <w:spacing w:after="0" w:line="360" w:lineRule="atLeast"/>
        <w:ind w:firstLine="720"/>
        <w:jc w:val="both"/>
        <w:textAlignment w:val="baseline"/>
        <w:rPr>
          <w:rFonts w:ascii="Tahoma" w:eastAsia="Times New Roman" w:hAnsi="Tahoma" w:cs="Tahoma"/>
          <w:b/>
          <w:bCs/>
          <w:sz w:val="26"/>
          <w:szCs w:val="26"/>
          <w:bdr w:val="none" w:sz="0" w:space="0" w:color="auto" w:frame="1"/>
          <w:lang w:eastAsia="el-GR"/>
        </w:rPr>
      </w:pPr>
    </w:p>
    <w:p w14:paraId="3F8E2081" w14:textId="77777777" w:rsidR="003111D6" w:rsidRPr="00D203CC" w:rsidRDefault="003111D6" w:rsidP="003111D6">
      <w:pPr>
        <w:spacing w:after="0" w:line="360" w:lineRule="atLeast"/>
        <w:ind w:firstLine="720"/>
        <w:jc w:val="both"/>
        <w:textAlignment w:val="baseline"/>
        <w:rPr>
          <w:rFonts w:ascii="Tahoma" w:eastAsia="Times New Roman" w:hAnsi="Tahoma" w:cs="Tahoma"/>
          <w:b/>
          <w:bCs/>
          <w:sz w:val="26"/>
          <w:szCs w:val="26"/>
          <w:bdr w:val="none" w:sz="0" w:space="0" w:color="auto" w:frame="1"/>
          <w:lang w:eastAsia="el-GR"/>
        </w:rPr>
      </w:pPr>
    </w:p>
    <w:p w14:paraId="4A81CDCE" w14:textId="77777777" w:rsidR="003111D6" w:rsidRPr="00D203CC" w:rsidRDefault="003111D6" w:rsidP="003111D6">
      <w:pPr>
        <w:spacing w:after="0" w:line="360" w:lineRule="atLeast"/>
        <w:ind w:firstLine="720"/>
        <w:jc w:val="both"/>
        <w:textAlignment w:val="baseline"/>
        <w:rPr>
          <w:rFonts w:ascii="Tahoma" w:eastAsia="Times New Roman" w:hAnsi="Tahoma" w:cs="Tahoma"/>
          <w:b/>
          <w:bCs/>
          <w:sz w:val="26"/>
          <w:szCs w:val="26"/>
          <w:bdr w:val="none" w:sz="0" w:space="0" w:color="auto" w:frame="1"/>
          <w:lang w:eastAsia="el-GR"/>
        </w:rPr>
      </w:pPr>
    </w:p>
    <w:p w14:paraId="70C1229D" w14:textId="77777777" w:rsidR="007D05CB" w:rsidRPr="00C63D3F" w:rsidRDefault="003111D6" w:rsidP="00142D31">
      <w:pPr>
        <w:spacing w:after="0" w:line="360" w:lineRule="atLeast"/>
        <w:jc w:val="both"/>
        <w:textAlignment w:val="baseline"/>
        <w:rPr>
          <w:rFonts w:ascii="Tahoma" w:eastAsia="Times New Roman" w:hAnsi="Tahoma" w:cs="Tahoma"/>
          <w:b/>
          <w:bCs/>
          <w:sz w:val="24"/>
          <w:szCs w:val="24"/>
          <w:bdr w:val="none" w:sz="0" w:space="0" w:color="auto" w:frame="1"/>
          <w:lang w:eastAsia="el-GR"/>
        </w:rPr>
      </w:pPr>
      <w:r w:rsidRPr="00D203CC">
        <w:rPr>
          <w:rFonts w:ascii="Tahoma" w:eastAsia="Times New Roman" w:hAnsi="Tahoma" w:cs="Tahoma"/>
          <w:b/>
          <w:bCs/>
          <w:sz w:val="26"/>
          <w:szCs w:val="26"/>
          <w:bdr w:val="none" w:sz="0" w:space="0" w:color="auto" w:frame="1"/>
          <w:lang w:eastAsia="el-GR"/>
        </w:rPr>
        <w:t>ΝΙΚΟΛΑΟΣ</w:t>
      </w:r>
      <w:r>
        <w:rPr>
          <w:rFonts w:ascii="Tahoma" w:eastAsia="Times New Roman" w:hAnsi="Tahoma" w:cs="Tahoma"/>
          <w:b/>
          <w:bCs/>
          <w:sz w:val="26"/>
          <w:szCs w:val="26"/>
          <w:bdr w:val="none" w:sz="0" w:space="0" w:color="auto" w:frame="1"/>
          <w:lang w:eastAsia="el-GR"/>
        </w:rPr>
        <w:t xml:space="preserve"> ΚΑΚΑΒΑΣ                     </w:t>
      </w:r>
      <w:r w:rsidRPr="00D203CC">
        <w:rPr>
          <w:rFonts w:ascii="Tahoma" w:eastAsia="Times New Roman" w:hAnsi="Tahoma" w:cs="Tahoma"/>
          <w:b/>
          <w:bCs/>
          <w:sz w:val="26"/>
          <w:szCs w:val="26"/>
          <w:bdr w:val="none" w:sz="0" w:space="0" w:color="auto" w:frame="1"/>
          <w:lang w:eastAsia="el-GR"/>
        </w:rPr>
        <w:t xml:space="preserve">   ΣΠΥΡΙΔΩΝ ΚΑΤΣΙΠΟΔΑ</w:t>
      </w:r>
      <w:r w:rsidR="00C63D3F">
        <w:rPr>
          <w:rFonts w:ascii="Tahoma" w:eastAsia="Times New Roman" w:hAnsi="Tahoma" w:cs="Tahoma"/>
          <w:b/>
          <w:bCs/>
          <w:sz w:val="26"/>
          <w:szCs w:val="26"/>
          <w:bdr w:val="none" w:sz="0" w:space="0" w:color="auto" w:frame="1"/>
          <w:lang w:eastAsia="el-GR"/>
        </w:rPr>
        <w:t>Σ</w:t>
      </w:r>
    </w:p>
    <w:p w14:paraId="3C59C584" w14:textId="77777777" w:rsidR="00D30EEA" w:rsidRPr="0060132D" w:rsidRDefault="00D30EEA" w:rsidP="00D30EEA">
      <w:pPr>
        <w:spacing w:after="160" w:line="252" w:lineRule="auto"/>
        <w:jc w:val="both"/>
        <w:rPr>
          <w:rFonts w:ascii="Times New Roman" w:hAnsi="Times New Roman"/>
          <w:sz w:val="32"/>
          <w:szCs w:val="32"/>
        </w:rPr>
      </w:pPr>
    </w:p>
    <w:p w14:paraId="5E3EDA14" w14:textId="77777777" w:rsidR="002453AC" w:rsidRDefault="009A7EC7" w:rsidP="004227E0">
      <w:pPr>
        <w:shd w:val="clear" w:color="auto" w:fill="FFFFFF"/>
        <w:spacing w:after="160" w:line="164" w:lineRule="atLeast"/>
        <w:ind w:firstLine="720"/>
        <w:jc w:val="both"/>
        <w:rPr>
          <w:rFonts w:ascii="Times New Roman" w:eastAsia="Times New Roman" w:hAnsi="Times New Roman"/>
          <w:color w:val="222222"/>
          <w:sz w:val="32"/>
          <w:szCs w:val="32"/>
          <w:lang w:eastAsia="el-GR"/>
        </w:rPr>
      </w:pPr>
      <w:r w:rsidRPr="00D30EEA">
        <w:rPr>
          <w:rFonts w:ascii="Times New Roman" w:eastAsia="Times New Roman" w:hAnsi="Times New Roman"/>
          <w:color w:val="222222"/>
          <w:sz w:val="32"/>
          <w:szCs w:val="32"/>
          <w:lang w:eastAsia="el-GR"/>
        </w:rPr>
        <w:t xml:space="preserve">                                </w:t>
      </w:r>
      <w:r w:rsidR="00E66BCB">
        <w:rPr>
          <w:rFonts w:ascii="Times New Roman" w:eastAsia="Times New Roman" w:hAnsi="Times New Roman"/>
          <w:color w:val="222222"/>
          <w:sz w:val="32"/>
          <w:szCs w:val="32"/>
          <w:lang w:eastAsia="el-GR"/>
        </w:rPr>
        <w:t xml:space="preserve">                              </w:t>
      </w:r>
      <w:r w:rsidRPr="00D30EEA">
        <w:rPr>
          <w:rFonts w:ascii="Times New Roman" w:eastAsia="Times New Roman" w:hAnsi="Times New Roman"/>
          <w:color w:val="222222"/>
          <w:sz w:val="32"/>
          <w:szCs w:val="32"/>
          <w:lang w:eastAsia="el-GR"/>
        </w:rPr>
        <w:t xml:space="preserve">       </w:t>
      </w:r>
    </w:p>
    <w:p w14:paraId="55E0E1A7" w14:textId="77777777" w:rsidR="002453AC" w:rsidRDefault="002453AC" w:rsidP="004227E0">
      <w:pPr>
        <w:shd w:val="clear" w:color="auto" w:fill="FFFFFF"/>
        <w:spacing w:after="160" w:line="164" w:lineRule="atLeast"/>
        <w:ind w:firstLine="720"/>
        <w:jc w:val="both"/>
        <w:rPr>
          <w:rFonts w:ascii="Times New Roman" w:eastAsia="Times New Roman" w:hAnsi="Times New Roman"/>
          <w:color w:val="222222"/>
          <w:sz w:val="32"/>
          <w:szCs w:val="32"/>
          <w:lang w:eastAsia="el-GR"/>
        </w:rPr>
      </w:pPr>
    </w:p>
    <w:p w14:paraId="5AFB22C2" w14:textId="2C41081C" w:rsidR="00842E46" w:rsidRPr="004227E0" w:rsidRDefault="009A7EC7" w:rsidP="004227E0">
      <w:pPr>
        <w:shd w:val="clear" w:color="auto" w:fill="FFFFFF"/>
        <w:spacing w:after="160" w:line="164" w:lineRule="atLeast"/>
        <w:ind w:firstLine="720"/>
        <w:jc w:val="both"/>
        <w:rPr>
          <w:rFonts w:eastAsia="Times New Roman" w:cs="Calibri"/>
          <w:color w:val="222222"/>
          <w:sz w:val="28"/>
          <w:szCs w:val="28"/>
          <w:lang w:eastAsia="el-GR"/>
        </w:rPr>
      </w:pPr>
      <w:r w:rsidRPr="00D30EEA">
        <w:rPr>
          <w:rFonts w:ascii="Times New Roman" w:eastAsia="Times New Roman" w:hAnsi="Times New Roman"/>
          <w:color w:val="222222"/>
          <w:sz w:val="32"/>
          <w:szCs w:val="32"/>
          <w:lang w:eastAsia="el-GR"/>
        </w:rPr>
        <w:t xml:space="preserve">  </w:t>
      </w:r>
    </w:p>
    <w:sectPr w:rsidR="00842E46" w:rsidRPr="004227E0" w:rsidSect="009A7EC7">
      <w:pgSz w:w="11906" w:h="16838"/>
      <w:pgMar w:top="426" w:right="849" w:bottom="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49F6C9C"/>
    <w:multiLevelType w:val="multilevel"/>
    <w:tmpl w:val="3D4ABE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23F0241"/>
    <w:multiLevelType w:val="multilevel"/>
    <w:tmpl w:val="4E7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8" w15:restartNumberingAfterBreak="0">
    <w:nsid w:val="30FE4EF1"/>
    <w:multiLevelType w:val="multilevel"/>
    <w:tmpl w:val="980CA7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4" w15:restartNumberingAfterBreak="0">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5" w15:restartNumberingAfterBreak="0">
    <w:nsid w:val="4C7F76B9"/>
    <w:multiLevelType w:val="multilevel"/>
    <w:tmpl w:val="2F2044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8" w15:restartNumberingAfterBreak="0">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9" w15:restartNumberingAfterBreak="0">
    <w:nsid w:val="6B380DEC"/>
    <w:multiLevelType w:val="multilevel"/>
    <w:tmpl w:val="19065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1" w15:restartNumberingAfterBreak="0">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16cid:durableId="1895389845">
    <w:abstractNumId w:val="0"/>
  </w:num>
  <w:num w:numId="2" w16cid:durableId="1524055056">
    <w:abstractNumId w:val="20"/>
  </w:num>
  <w:num w:numId="3" w16cid:durableId="703796532">
    <w:abstractNumId w:val="13"/>
  </w:num>
  <w:num w:numId="4" w16cid:durableId="1129317748">
    <w:abstractNumId w:val="14"/>
  </w:num>
  <w:num w:numId="5" w16cid:durableId="1393234332">
    <w:abstractNumId w:val="18"/>
  </w:num>
  <w:num w:numId="6" w16cid:durableId="1253200359">
    <w:abstractNumId w:val="17"/>
  </w:num>
  <w:num w:numId="7" w16cid:durableId="303856889">
    <w:abstractNumId w:val="7"/>
  </w:num>
  <w:num w:numId="8" w16cid:durableId="288977629">
    <w:abstractNumId w:val="16"/>
  </w:num>
  <w:num w:numId="9" w16cid:durableId="1694648587">
    <w:abstractNumId w:val="4"/>
  </w:num>
  <w:num w:numId="10" w16cid:durableId="1469934565">
    <w:abstractNumId w:val="21"/>
  </w:num>
  <w:num w:numId="11" w16cid:durableId="356542637">
    <w:abstractNumId w:val="3"/>
  </w:num>
  <w:num w:numId="12" w16cid:durableId="580063072">
    <w:abstractNumId w:val="1"/>
  </w:num>
  <w:num w:numId="13" w16cid:durableId="2029521888">
    <w:abstractNumId w:val="10"/>
  </w:num>
  <w:num w:numId="14" w16cid:durableId="1501776653">
    <w:abstractNumId w:val="12"/>
  </w:num>
  <w:num w:numId="15" w16cid:durableId="414131700">
    <w:abstractNumId w:val="6"/>
  </w:num>
  <w:num w:numId="16" w16cid:durableId="1569808585">
    <w:abstractNumId w:val="11"/>
  </w:num>
  <w:num w:numId="17" w16cid:durableId="254560155">
    <w:abstractNumId w:val="9"/>
  </w:num>
  <w:num w:numId="18" w16cid:durableId="12915978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2321778">
    <w:abstractNumId w:val="5"/>
  </w:num>
  <w:num w:numId="20" w16cid:durableId="118065826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748015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891400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C0"/>
    <w:rsid w:val="00003265"/>
    <w:rsid w:val="000033AB"/>
    <w:rsid w:val="00005E3E"/>
    <w:rsid w:val="000078D6"/>
    <w:rsid w:val="00021220"/>
    <w:rsid w:val="0002270C"/>
    <w:rsid w:val="00037894"/>
    <w:rsid w:val="00041FD4"/>
    <w:rsid w:val="00044EBC"/>
    <w:rsid w:val="000627A3"/>
    <w:rsid w:val="00072B5B"/>
    <w:rsid w:val="00084B19"/>
    <w:rsid w:val="00087CB3"/>
    <w:rsid w:val="00093D4D"/>
    <w:rsid w:val="00095B7C"/>
    <w:rsid w:val="000B170D"/>
    <w:rsid w:val="000B6288"/>
    <w:rsid w:val="000C7053"/>
    <w:rsid w:val="000D6359"/>
    <w:rsid w:val="000D706D"/>
    <w:rsid w:val="000E4796"/>
    <w:rsid w:val="000F0A9C"/>
    <w:rsid w:val="000F39C4"/>
    <w:rsid w:val="000F39E0"/>
    <w:rsid w:val="00107239"/>
    <w:rsid w:val="0011039E"/>
    <w:rsid w:val="00113AA9"/>
    <w:rsid w:val="00142D31"/>
    <w:rsid w:val="00144D11"/>
    <w:rsid w:val="00150AA2"/>
    <w:rsid w:val="00167B46"/>
    <w:rsid w:val="00177731"/>
    <w:rsid w:val="001801F9"/>
    <w:rsid w:val="00183624"/>
    <w:rsid w:val="00186A34"/>
    <w:rsid w:val="00193D93"/>
    <w:rsid w:val="001C3965"/>
    <w:rsid w:val="001C58C6"/>
    <w:rsid w:val="001D18E6"/>
    <w:rsid w:val="001D4992"/>
    <w:rsid w:val="001D70FB"/>
    <w:rsid w:val="001E2B23"/>
    <w:rsid w:val="001F626C"/>
    <w:rsid w:val="002100BE"/>
    <w:rsid w:val="002146C0"/>
    <w:rsid w:val="0023184D"/>
    <w:rsid w:val="00243B9D"/>
    <w:rsid w:val="002453AC"/>
    <w:rsid w:val="0027531B"/>
    <w:rsid w:val="002778C0"/>
    <w:rsid w:val="002A7D7B"/>
    <w:rsid w:val="002B0CEE"/>
    <w:rsid w:val="002D315C"/>
    <w:rsid w:val="002E02E9"/>
    <w:rsid w:val="002E2101"/>
    <w:rsid w:val="002E6550"/>
    <w:rsid w:val="002F6A6E"/>
    <w:rsid w:val="003109EC"/>
    <w:rsid w:val="003111D6"/>
    <w:rsid w:val="0031532B"/>
    <w:rsid w:val="00316345"/>
    <w:rsid w:val="00320C67"/>
    <w:rsid w:val="00322FF2"/>
    <w:rsid w:val="003233CC"/>
    <w:rsid w:val="0032457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22276"/>
    <w:rsid w:val="004227E0"/>
    <w:rsid w:val="004335A6"/>
    <w:rsid w:val="00445A88"/>
    <w:rsid w:val="004460CE"/>
    <w:rsid w:val="00454FAC"/>
    <w:rsid w:val="00455915"/>
    <w:rsid w:val="00455ED4"/>
    <w:rsid w:val="004665C8"/>
    <w:rsid w:val="00490F12"/>
    <w:rsid w:val="00491DD6"/>
    <w:rsid w:val="004A27D5"/>
    <w:rsid w:val="004B0A48"/>
    <w:rsid w:val="004B2B6C"/>
    <w:rsid w:val="004B4C8A"/>
    <w:rsid w:val="004C60ED"/>
    <w:rsid w:val="004D215B"/>
    <w:rsid w:val="004F3D57"/>
    <w:rsid w:val="005054EA"/>
    <w:rsid w:val="00513CEF"/>
    <w:rsid w:val="00543079"/>
    <w:rsid w:val="00563092"/>
    <w:rsid w:val="0057520D"/>
    <w:rsid w:val="005A44F1"/>
    <w:rsid w:val="005B2F89"/>
    <w:rsid w:val="005D323E"/>
    <w:rsid w:val="005E0A32"/>
    <w:rsid w:val="005E52F3"/>
    <w:rsid w:val="005F1CC2"/>
    <w:rsid w:val="0060132D"/>
    <w:rsid w:val="00601FDB"/>
    <w:rsid w:val="0062468F"/>
    <w:rsid w:val="00630AB0"/>
    <w:rsid w:val="006462F2"/>
    <w:rsid w:val="006464C7"/>
    <w:rsid w:val="006507BF"/>
    <w:rsid w:val="00650AEB"/>
    <w:rsid w:val="006567DE"/>
    <w:rsid w:val="006579AF"/>
    <w:rsid w:val="006638C2"/>
    <w:rsid w:val="00665969"/>
    <w:rsid w:val="00666081"/>
    <w:rsid w:val="0068766C"/>
    <w:rsid w:val="00693DCC"/>
    <w:rsid w:val="00694C36"/>
    <w:rsid w:val="006A1712"/>
    <w:rsid w:val="006A1FFB"/>
    <w:rsid w:val="006B6888"/>
    <w:rsid w:val="006B7F73"/>
    <w:rsid w:val="006D01AF"/>
    <w:rsid w:val="006E31C1"/>
    <w:rsid w:val="006F1A94"/>
    <w:rsid w:val="006F5222"/>
    <w:rsid w:val="00714FDB"/>
    <w:rsid w:val="00716E70"/>
    <w:rsid w:val="007204C9"/>
    <w:rsid w:val="00733ECD"/>
    <w:rsid w:val="00736082"/>
    <w:rsid w:val="00737453"/>
    <w:rsid w:val="00751DCA"/>
    <w:rsid w:val="007639F1"/>
    <w:rsid w:val="00773BA0"/>
    <w:rsid w:val="0077413F"/>
    <w:rsid w:val="007759AC"/>
    <w:rsid w:val="00776D1B"/>
    <w:rsid w:val="00787609"/>
    <w:rsid w:val="007A7482"/>
    <w:rsid w:val="007B126A"/>
    <w:rsid w:val="007B4ED7"/>
    <w:rsid w:val="007B65FE"/>
    <w:rsid w:val="007C56E6"/>
    <w:rsid w:val="007D05CB"/>
    <w:rsid w:val="007E4951"/>
    <w:rsid w:val="00802A67"/>
    <w:rsid w:val="00816329"/>
    <w:rsid w:val="008278C0"/>
    <w:rsid w:val="00835764"/>
    <w:rsid w:val="008371F7"/>
    <w:rsid w:val="00842E46"/>
    <w:rsid w:val="00850CA4"/>
    <w:rsid w:val="0085391A"/>
    <w:rsid w:val="0085510B"/>
    <w:rsid w:val="008577CD"/>
    <w:rsid w:val="00866852"/>
    <w:rsid w:val="00881E9F"/>
    <w:rsid w:val="00883FFE"/>
    <w:rsid w:val="008A650B"/>
    <w:rsid w:val="008B142B"/>
    <w:rsid w:val="008B5FBD"/>
    <w:rsid w:val="008B683E"/>
    <w:rsid w:val="008C415C"/>
    <w:rsid w:val="008D3BDD"/>
    <w:rsid w:val="008F1460"/>
    <w:rsid w:val="008F254E"/>
    <w:rsid w:val="008F2973"/>
    <w:rsid w:val="008F4B7A"/>
    <w:rsid w:val="0091249C"/>
    <w:rsid w:val="009157AA"/>
    <w:rsid w:val="00934A88"/>
    <w:rsid w:val="00937ED3"/>
    <w:rsid w:val="00944B04"/>
    <w:rsid w:val="00947421"/>
    <w:rsid w:val="009475B9"/>
    <w:rsid w:val="00947EF5"/>
    <w:rsid w:val="00956609"/>
    <w:rsid w:val="009647F7"/>
    <w:rsid w:val="00965B16"/>
    <w:rsid w:val="00971C5A"/>
    <w:rsid w:val="00972571"/>
    <w:rsid w:val="00975546"/>
    <w:rsid w:val="009869A5"/>
    <w:rsid w:val="009875DA"/>
    <w:rsid w:val="00987A30"/>
    <w:rsid w:val="009A7EC7"/>
    <w:rsid w:val="009C6A34"/>
    <w:rsid w:val="009D38D8"/>
    <w:rsid w:val="009F4164"/>
    <w:rsid w:val="00A16046"/>
    <w:rsid w:val="00A371D8"/>
    <w:rsid w:val="00A37EAC"/>
    <w:rsid w:val="00A45302"/>
    <w:rsid w:val="00A463BF"/>
    <w:rsid w:val="00A52A47"/>
    <w:rsid w:val="00A65F17"/>
    <w:rsid w:val="00A665FA"/>
    <w:rsid w:val="00A720C1"/>
    <w:rsid w:val="00A73A7C"/>
    <w:rsid w:val="00A863B9"/>
    <w:rsid w:val="00A86B7D"/>
    <w:rsid w:val="00A90934"/>
    <w:rsid w:val="00AA5E08"/>
    <w:rsid w:val="00AB599F"/>
    <w:rsid w:val="00AE163F"/>
    <w:rsid w:val="00B01FB1"/>
    <w:rsid w:val="00B0709A"/>
    <w:rsid w:val="00B109A1"/>
    <w:rsid w:val="00B4263C"/>
    <w:rsid w:val="00B5059B"/>
    <w:rsid w:val="00B557DD"/>
    <w:rsid w:val="00B63E39"/>
    <w:rsid w:val="00B67672"/>
    <w:rsid w:val="00B82BF4"/>
    <w:rsid w:val="00BA536E"/>
    <w:rsid w:val="00BC193A"/>
    <w:rsid w:val="00BC37C2"/>
    <w:rsid w:val="00BC642A"/>
    <w:rsid w:val="00BD026A"/>
    <w:rsid w:val="00BD3DA1"/>
    <w:rsid w:val="00BE4278"/>
    <w:rsid w:val="00BF3665"/>
    <w:rsid w:val="00C02E4C"/>
    <w:rsid w:val="00C2334E"/>
    <w:rsid w:val="00C270E3"/>
    <w:rsid w:val="00C31280"/>
    <w:rsid w:val="00C31F46"/>
    <w:rsid w:val="00C4563E"/>
    <w:rsid w:val="00C470BE"/>
    <w:rsid w:val="00C5614A"/>
    <w:rsid w:val="00C57AAF"/>
    <w:rsid w:val="00C602C6"/>
    <w:rsid w:val="00C63D3F"/>
    <w:rsid w:val="00C67154"/>
    <w:rsid w:val="00C74959"/>
    <w:rsid w:val="00C76A48"/>
    <w:rsid w:val="00C839DF"/>
    <w:rsid w:val="00C85378"/>
    <w:rsid w:val="00C9076F"/>
    <w:rsid w:val="00CB169D"/>
    <w:rsid w:val="00CC1249"/>
    <w:rsid w:val="00CD4153"/>
    <w:rsid w:val="00CE65BE"/>
    <w:rsid w:val="00CF1FF3"/>
    <w:rsid w:val="00CF5F48"/>
    <w:rsid w:val="00D06529"/>
    <w:rsid w:val="00D115EA"/>
    <w:rsid w:val="00D13C4D"/>
    <w:rsid w:val="00D23191"/>
    <w:rsid w:val="00D23346"/>
    <w:rsid w:val="00D30EEA"/>
    <w:rsid w:val="00D3260A"/>
    <w:rsid w:val="00D4596D"/>
    <w:rsid w:val="00D52286"/>
    <w:rsid w:val="00D5463F"/>
    <w:rsid w:val="00D73CF7"/>
    <w:rsid w:val="00D90707"/>
    <w:rsid w:val="00D95012"/>
    <w:rsid w:val="00DC357F"/>
    <w:rsid w:val="00DC41F1"/>
    <w:rsid w:val="00DD39FE"/>
    <w:rsid w:val="00DD5B52"/>
    <w:rsid w:val="00DD6481"/>
    <w:rsid w:val="00DE2ED7"/>
    <w:rsid w:val="00DE5CBE"/>
    <w:rsid w:val="00E00821"/>
    <w:rsid w:val="00E026ED"/>
    <w:rsid w:val="00E0329D"/>
    <w:rsid w:val="00E26B4E"/>
    <w:rsid w:val="00E41ADB"/>
    <w:rsid w:val="00E42092"/>
    <w:rsid w:val="00E44A30"/>
    <w:rsid w:val="00E44D22"/>
    <w:rsid w:val="00E528F3"/>
    <w:rsid w:val="00E622C9"/>
    <w:rsid w:val="00E629D3"/>
    <w:rsid w:val="00E66BCB"/>
    <w:rsid w:val="00E67ED8"/>
    <w:rsid w:val="00E701AC"/>
    <w:rsid w:val="00E818D3"/>
    <w:rsid w:val="00E948B2"/>
    <w:rsid w:val="00EA1E18"/>
    <w:rsid w:val="00EA3502"/>
    <w:rsid w:val="00EB7A35"/>
    <w:rsid w:val="00EC007D"/>
    <w:rsid w:val="00EE6A8D"/>
    <w:rsid w:val="00F13695"/>
    <w:rsid w:val="00F148B0"/>
    <w:rsid w:val="00F15586"/>
    <w:rsid w:val="00F22062"/>
    <w:rsid w:val="00F31565"/>
    <w:rsid w:val="00F53510"/>
    <w:rsid w:val="00F55F39"/>
    <w:rsid w:val="00F704A6"/>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5CF5"/>
  <w15:docId w15:val="{F1C0A5EA-7A34-49E3-A79E-FFAC5F73E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0C67"/>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 w:type="paragraph" w:customStyle="1" w:styleId="gmail-msolistparagraph">
    <w:name w:val="gmail-msolistparagraph"/>
    <w:basedOn w:val="a"/>
    <w:rsid w:val="00BD3DA1"/>
    <w:pPr>
      <w:spacing w:before="100" w:beforeAutospacing="1" w:after="100" w:afterAutospacing="1" w:line="240" w:lineRule="auto"/>
    </w:pPr>
    <w:rPr>
      <w:rFonts w:ascii="Times New Roman" w:eastAsiaTheme="minorHAnsi"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186020273">
      <w:bodyDiv w:val="1"/>
      <w:marLeft w:val="0"/>
      <w:marRight w:val="0"/>
      <w:marTop w:val="0"/>
      <w:marBottom w:val="0"/>
      <w:divBdr>
        <w:top w:val="none" w:sz="0" w:space="0" w:color="auto"/>
        <w:left w:val="none" w:sz="0" w:space="0" w:color="auto"/>
        <w:bottom w:val="none" w:sz="0" w:space="0" w:color="auto"/>
        <w:right w:val="none" w:sz="0" w:space="0" w:color="auto"/>
      </w:divBdr>
    </w:div>
    <w:div w:id="318466582">
      <w:bodyDiv w:val="1"/>
      <w:marLeft w:val="0"/>
      <w:marRight w:val="0"/>
      <w:marTop w:val="0"/>
      <w:marBottom w:val="0"/>
      <w:divBdr>
        <w:top w:val="none" w:sz="0" w:space="0" w:color="auto"/>
        <w:left w:val="none" w:sz="0" w:space="0" w:color="auto"/>
        <w:bottom w:val="none" w:sz="0" w:space="0" w:color="auto"/>
        <w:right w:val="none" w:sz="0" w:space="0" w:color="auto"/>
      </w:divBdr>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4860197">
      <w:bodyDiv w:val="1"/>
      <w:marLeft w:val="0"/>
      <w:marRight w:val="0"/>
      <w:marTop w:val="0"/>
      <w:marBottom w:val="0"/>
      <w:divBdr>
        <w:top w:val="none" w:sz="0" w:space="0" w:color="auto"/>
        <w:left w:val="none" w:sz="0" w:space="0" w:color="auto"/>
        <w:bottom w:val="none" w:sz="0" w:space="0" w:color="auto"/>
        <w:right w:val="none" w:sz="0" w:space="0" w:color="auto"/>
      </w:divBdr>
    </w:div>
    <w:div w:id="729184405">
      <w:bodyDiv w:val="1"/>
      <w:marLeft w:val="0"/>
      <w:marRight w:val="0"/>
      <w:marTop w:val="0"/>
      <w:marBottom w:val="0"/>
      <w:divBdr>
        <w:top w:val="none" w:sz="0" w:space="0" w:color="auto"/>
        <w:left w:val="none" w:sz="0" w:space="0" w:color="auto"/>
        <w:bottom w:val="none" w:sz="0" w:space="0" w:color="auto"/>
        <w:right w:val="none" w:sz="0" w:space="0" w:color="auto"/>
      </w:divBdr>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78995491">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34708">
      <w:bodyDiv w:val="1"/>
      <w:marLeft w:val="0"/>
      <w:marRight w:val="0"/>
      <w:marTop w:val="0"/>
      <w:marBottom w:val="0"/>
      <w:divBdr>
        <w:top w:val="none" w:sz="0" w:space="0" w:color="auto"/>
        <w:left w:val="none" w:sz="0" w:space="0" w:color="auto"/>
        <w:bottom w:val="none" w:sz="0" w:space="0" w:color="auto"/>
        <w:right w:val="none" w:sz="0" w:space="0" w:color="auto"/>
      </w:divBdr>
    </w:div>
    <w:div w:id="1027021424">
      <w:bodyDiv w:val="1"/>
      <w:marLeft w:val="0"/>
      <w:marRight w:val="0"/>
      <w:marTop w:val="0"/>
      <w:marBottom w:val="0"/>
      <w:divBdr>
        <w:top w:val="none" w:sz="0" w:space="0" w:color="auto"/>
        <w:left w:val="none" w:sz="0" w:space="0" w:color="auto"/>
        <w:bottom w:val="none" w:sz="0" w:space="0" w:color="auto"/>
        <w:right w:val="none" w:sz="0" w:space="0" w:color="auto"/>
      </w:divBdr>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360013145">
      <w:bodyDiv w:val="1"/>
      <w:marLeft w:val="0"/>
      <w:marRight w:val="0"/>
      <w:marTop w:val="0"/>
      <w:marBottom w:val="0"/>
      <w:divBdr>
        <w:top w:val="none" w:sz="0" w:space="0" w:color="auto"/>
        <w:left w:val="none" w:sz="0" w:space="0" w:color="auto"/>
        <w:bottom w:val="none" w:sz="0" w:space="0" w:color="auto"/>
        <w:right w:val="none" w:sz="0" w:space="0" w:color="auto"/>
      </w:divBdr>
    </w:div>
    <w:div w:id="1375739995">
      <w:bodyDiv w:val="1"/>
      <w:marLeft w:val="0"/>
      <w:marRight w:val="0"/>
      <w:marTop w:val="0"/>
      <w:marBottom w:val="0"/>
      <w:divBdr>
        <w:top w:val="none" w:sz="0" w:space="0" w:color="auto"/>
        <w:left w:val="none" w:sz="0" w:space="0" w:color="auto"/>
        <w:bottom w:val="none" w:sz="0" w:space="0" w:color="auto"/>
        <w:right w:val="none" w:sz="0" w:space="0" w:color="auto"/>
      </w:divBdr>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439257859">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654524129">
      <w:bodyDiv w:val="1"/>
      <w:marLeft w:val="0"/>
      <w:marRight w:val="0"/>
      <w:marTop w:val="0"/>
      <w:marBottom w:val="0"/>
      <w:divBdr>
        <w:top w:val="none" w:sz="0" w:space="0" w:color="auto"/>
        <w:left w:val="none" w:sz="0" w:space="0" w:color="auto"/>
        <w:bottom w:val="none" w:sz="0" w:space="0" w:color="auto"/>
        <w:right w:val="none" w:sz="0" w:space="0" w:color="auto"/>
      </w:divBdr>
    </w:div>
    <w:div w:id="1691181941">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39075925">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409FF-DD2C-4AC1-B81C-BA78B44F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488</Words>
  <Characters>2637</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5</cp:revision>
  <cp:lastPrinted>2022-11-28T09:18:00Z</cp:lastPrinted>
  <dcterms:created xsi:type="dcterms:W3CDTF">2025-12-22T20:29:00Z</dcterms:created>
  <dcterms:modified xsi:type="dcterms:W3CDTF">2025-12-22T23:25:00Z</dcterms:modified>
</cp:coreProperties>
</file>