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4A0" w:firstRow="1" w:lastRow="0" w:firstColumn="1" w:lastColumn="0" w:noHBand="0" w:noVBand="1"/>
      </w:tblPr>
      <w:tblGrid>
        <w:gridCol w:w="9923"/>
      </w:tblGrid>
      <w:tr w:rsidR="008B2607" w14:paraId="2737D1C6" w14:textId="77777777" w:rsidTr="00050AFF">
        <w:trPr>
          <w:jc w:val="center"/>
        </w:trPr>
        <w:tc>
          <w:tcPr>
            <w:tcW w:w="9923" w:type="dxa"/>
            <w:tcBorders>
              <w:top w:val="single" w:sz="4" w:space="0" w:color="000000"/>
              <w:left w:val="single" w:sz="4" w:space="0" w:color="000000"/>
              <w:bottom w:val="single" w:sz="4" w:space="0" w:color="000000"/>
              <w:right w:val="single" w:sz="4" w:space="0" w:color="000000"/>
            </w:tcBorders>
          </w:tcPr>
          <w:p w14:paraId="08EB7EF7" w14:textId="77777777" w:rsidR="008B2607" w:rsidRDefault="008B2607" w:rsidP="00050AFF">
            <w:pPr>
              <w:pStyle w:val="1"/>
              <w:spacing w:after="100"/>
              <w:rPr>
                <w:bCs/>
                <w:sz w:val="24"/>
              </w:rPr>
            </w:pPr>
            <w:r>
              <w:rPr>
                <w:sz w:val="24"/>
              </w:rPr>
              <w:t>ΠΑΝΕΛΛΗΝΙΑ ΟΜΟΣΠΟΝΔΙΑ ΓΕΩΤΕΧΝΙΚΩΝ ΔΗΜΟΣΙΩΝ ΥΠΑΛΛΗΛΩΝ</w:t>
            </w:r>
          </w:p>
          <w:p w14:paraId="4D7291AA" w14:textId="77777777" w:rsidR="008B2607" w:rsidRDefault="008B2607" w:rsidP="00050AFF">
            <w:pPr>
              <w:spacing w:after="100" w:line="240" w:lineRule="exact"/>
              <w:jc w:val="center"/>
              <w:rPr>
                <w:sz w:val="24"/>
                <w:szCs w:val="24"/>
              </w:rPr>
            </w:pPr>
            <w:r>
              <w:rPr>
                <w:b/>
                <w:bCs/>
                <w:sz w:val="24"/>
                <w:szCs w:val="24"/>
              </w:rPr>
              <w:t>(ΠΟΓΕΔΥ)</w:t>
            </w:r>
          </w:p>
          <w:p w14:paraId="3F4AF41F" w14:textId="77777777" w:rsidR="008B2607" w:rsidRDefault="008B2607" w:rsidP="00050AFF">
            <w:pPr>
              <w:spacing w:after="100" w:line="240" w:lineRule="exact"/>
              <w:jc w:val="center"/>
              <w:rPr>
                <w:bCs/>
                <w:sz w:val="24"/>
                <w:szCs w:val="24"/>
              </w:rPr>
            </w:pPr>
            <w:r>
              <w:rPr>
                <w:sz w:val="24"/>
                <w:szCs w:val="24"/>
              </w:rPr>
              <w:t>ΓΕΩΠΟΝΟΙ – ΔΑΣΟΛΟΓΟΙ – ΚΤΗΝΙΑΤΡΟΙ – ΙΧΘΥΟΛΟΓΟΙ - ΓΕΩΛΟΓΟΙ</w:t>
            </w:r>
          </w:p>
          <w:p w14:paraId="398424D3" w14:textId="77777777" w:rsidR="008B2607" w:rsidRDefault="008B2607" w:rsidP="00050AFF">
            <w:pPr>
              <w:spacing w:after="100" w:line="240" w:lineRule="exact"/>
              <w:ind w:right="34"/>
              <w:jc w:val="center"/>
              <w:rPr>
                <w:b/>
                <w:bCs/>
                <w:sz w:val="24"/>
                <w:szCs w:val="24"/>
              </w:rPr>
            </w:pPr>
            <w:r>
              <w:rPr>
                <w:bCs/>
                <w:sz w:val="24"/>
                <w:szCs w:val="24"/>
              </w:rPr>
              <w:t xml:space="preserve">Αχαρνών 2 Αθήνα Τ.Κ. 10176 Τηλ.:210-5234189, 210-2124041 </w:t>
            </w:r>
            <w:r>
              <w:rPr>
                <w:bCs/>
                <w:sz w:val="24"/>
                <w:szCs w:val="24"/>
                <w:lang w:val="en-US"/>
              </w:rPr>
              <w:t>FAX</w:t>
            </w:r>
            <w:r>
              <w:rPr>
                <w:bCs/>
                <w:sz w:val="24"/>
                <w:szCs w:val="24"/>
              </w:rPr>
              <w:t>: 210-5232240</w:t>
            </w:r>
          </w:p>
          <w:p w14:paraId="1D858B25" w14:textId="77777777" w:rsidR="008B2607" w:rsidRDefault="008B2607" w:rsidP="00050AFF">
            <w:pPr>
              <w:spacing w:after="100" w:line="240" w:lineRule="exact"/>
              <w:ind w:right="34"/>
              <w:jc w:val="center"/>
              <w:rPr>
                <w:sz w:val="24"/>
                <w:szCs w:val="24"/>
              </w:rPr>
            </w:pPr>
            <w:r>
              <w:rPr>
                <w:b/>
                <w:bCs/>
                <w:sz w:val="24"/>
                <w:szCs w:val="24"/>
                <w:lang w:val="en-US"/>
              </w:rPr>
              <w:t>e</w:t>
            </w:r>
            <w:r>
              <w:rPr>
                <w:b/>
                <w:bCs/>
                <w:sz w:val="24"/>
                <w:szCs w:val="24"/>
              </w:rPr>
              <w:t>-</w:t>
            </w:r>
            <w:r>
              <w:rPr>
                <w:b/>
                <w:bCs/>
                <w:sz w:val="24"/>
                <w:szCs w:val="24"/>
                <w:lang w:val="en-US"/>
              </w:rPr>
              <w:t>mail</w:t>
            </w:r>
            <w:r>
              <w:rPr>
                <w:b/>
                <w:bCs/>
                <w:sz w:val="24"/>
                <w:szCs w:val="24"/>
              </w:rPr>
              <w:t>:</w:t>
            </w:r>
            <w:r>
              <w:rPr>
                <w:b/>
                <w:bCs/>
                <w:sz w:val="24"/>
                <w:szCs w:val="24"/>
                <w:lang w:val="en-US"/>
              </w:rPr>
              <w:t>ax</w:t>
            </w:r>
            <w:r>
              <w:rPr>
                <w:b/>
                <w:bCs/>
                <w:sz w:val="24"/>
                <w:szCs w:val="24"/>
              </w:rPr>
              <w:t>2</w:t>
            </w:r>
            <w:r>
              <w:rPr>
                <w:b/>
                <w:bCs/>
                <w:sz w:val="24"/>
                <w:szCs w:val="24"/>
                <w:lang w:val="en-US"/>
              </w:rPr>
              <w:t>u</w:t>
            </w:r>
            <w:r>
              <w:rPr>
                <w:b/>
                <w:bCs/>
                <w:sz w:val="24"/>
                <w:szCs w:val="24"/>
              </w:rPr>
              <w:t>128@</w:t>
            </w:r>
            <w:proofErr w:type="spellStart"/>
            <w:r>
              <w:rPr>
                <w:b/>
                <w:bCs/>
                <w:sz w:val="24"/>
                <w:szCs w:val="24"/>
                <w:lang w:val="en-US"/>
              </w:rPr>
              <w:t>minagric</w:t>
            </w:r>
            <w:proofErr w:type="spellEnd"/>
            <w:r>
              <w:rPr>
                <w:b/>
                <w:bCs/>
                <w:sz w:val="24"/>
                <w:szCs w:val="24"/>
              </w:rPr>
              <w:t>.</w:t>
            </w:r>
            <w:r>
              <w:rPr>
                <w:b/>
                <w:bCs/>
                <w:sz w:val="24"/>
                <w:szCs w:val="24"/>
                <w:lang w:val="en-US"/>
              </w:rPr>
              <w:t>gr</w:t>
            </w:r>
          </w:p>
        </w:tc>
      </w:tr>
    </w:tbl>
    <w:p w14:paraId="23776FC6" w14:textId="77777777" w:rsidR="008B2607" w:rsidRPr="00F30DDC" w:rsidRDefault="008B2607" w:rsidP="008B2607">
      <w:pPr>
        <w:spacing w:before="120" w:after="120" w:line="240" w:lineRule="auto"/>
        <w:ind w:left="5760"/>
        <w:rPr>
          <w:bCs/>
          <w:sz w:val="28"/>
          <w:szCs w:val="28"/>
        </w:rPr>
      </w:pPr>
      <w:r w:rsidRPr="00581C6A">
        <w:rPr>
          <w:bCs/>
          <w:sz w:val="28"/>
          <w:szCs w:val="28"/>
        </w:rPr>
        <w:t xml:space="preserve">Αθήνα </w:t>
      </w:r>
      <w:r w:rsidR="00CA21A1" w:rsidRPr="009A0F0D">
        <w:rPr>
          <w:bCs/>
          <w:sz w:val="28"/>
          <w:szCs w:val="28"/>
        </w:rPr>
        <w:t>22</w:t>
      </w:r>
      <w:r>
        <w:rPr>
          <w:bCs/>
          <w:sz w:val="28"/>
          <w:szCs w:val="28"/>
        </w:rPr>
        <w:t>-</w:t>
      </w:r>
      <w:r w:rsidR="00CA21A1" w:rsidRPr="009A0F0D">
        <w:rPr>
          <w:bCs/>
          <w:sz w:val="28"/>
          <w:szCs w:val="28"/>
        </w:rPr>
        <w:t>1</w:t>
      </w:r>
      <w:r w:rsidRPr="00F30DDC">
        <w:rPr>
          <w:bCs/>
          <w:sz w:val="28"/>
          <w:szCs w:val="28"/>
        </w:rPr>
        <w:t>2</w:t>
      </w:r>
      <w:r>
        <w:rPr>
          <w:bCs/>
          <w:sz w:val="28"/>
          <w:szCs w:val="28"/>
        </w:rPr>
        <w:t>-202</w:t>
      </w:r>
      <w:r w:rsidRPr="00F30DDC">
        <w:rPr>
          <w:bCs/>
          <w:sz w:val="28"/>
          <w:szCs w:val="28"/>
        </w:rPr>
        <w:t>5</w:t>
      </w:r>
    </w:p>
    <w:p w14:paraId="3807C669" w14:textId="77777777" w:rsidR="008B2607" w:rsidRPr="009A0F0D" w:rsidRDefault="008B2607" w:rsidP="008B2607">
      <w:pPr>
        <w:ind w:left="5040" w:firstLine="720"/>
      </w:pPr>
      <w:r w:rsidRPr="000E7619">
        <w:rPr>
          <w:color w:val="000000"/>
          <w:sz w:val="28"/>
          <w:szCs w:val="28"/>
          <w:lang w:eastAsia="zh-CN"/>
        </w:rPr>
        <w:t xml:space="preserve">Αρ. </w:t>
      </w:r>
      <w:proofErr w:type="spellStart"/>
      <w:r w:rsidRPr="000E7619">
        <w:rPr>
          <w:color w:val="000000"/>
          <w:sz w:val="28"/>
          <w:szCs w:val="28"/>
          <w:lang w:eastAsia="zh-CN"/>
        </w:rPr>
        <w:t>πρωτ</w:t>
      </w:r>
      <w:proofErr w:type="spellEnd"/>
      <w:r w:rsidRPr="000E7619">
        <w:rPr>
          <w:color w:val="000000"/>
          <w:sz w:val="28"/>
          <w:szCs w:val="28"/>
          <w:lang w:eastAsia="zh-CN"/>
        </w:rPr>
        <w:t>.:</w:t>
      </w:r>
      <w:r w:rsidR="0079178E">
        <w:rPr>
          <w:color w:val="000000"/>
          <w:sz w:val="28"/>
          <w:szCs w:val="28"/>
          <w:lang w:eastAsia="zh-CN"/>
        </w:rPr>
        <w:t xml:space="preserve"> </w:t>
      </w:r>
      <w:r w:rsidR="005E5E9B" w:rsidRPr="009A0F0D">
        <w:rPr>
          <w:color w:val="000000"/>
          <w:sz w:val="28"/>
          <w:szCs w:val="28"/>
          <w:lang w:eastAsia="zh-CN"/>
        </w:rPr>
        <w:t>1701</w:t>
      </w:r>
    </w:p>
    <w:p w14:paraId="1D538EED" w14:textId="77777777" w:rsidR="008B2607" w:rsidRDefault="008B2607" w:rsidP="008B2607">
      <w:pPr>
        <w:spacing w:after="120" w:line="360" w:lineRule="auto"/>
        <w:ind w:firstLine="720"/>
        <w:jc w:val="both"/>
        <w:rPr>
          <w:rFonts w:ascii="Times New Roman" w:hAnsi="Times New Roman" w:cs="Times New Roman"/>
          <w:sz w:val="28"/>
          <w:szCs w:val="28"/>
        </w:rPr>
      </w:pPr>
      <w:r w:rsidRPr="0079178E">
        <w:rPr>
          <w:rFonts w:ascii="Times New Roman" w:hAnsi="Times New Roman" w:cs="Times New Roman"/>
          <w:sz w:val="28"/>
          <w:szCs w:val="28"/>
        </w:rPr>
        <w:tab/>
      </w:r>
      <w:r w:rsidRPr="0079178E">
        <w:rPr>
          <w:rFonts w:ascii="Times New Roman" w:hAnsi="Times New Roman" w:cs="Times New Roman"/>
          <w:sz w:val="28"/>
          <w:szCs w:val="28"/>
        </w:rPr>
        <w:tab/>
      </w:r>
      <w:r w:rsidRPr="0079178E">
        <w:rPr>
          <w:rFonts w:ascii="Times New Roman" w:hAnsi="Times New Roman" w:cs="Times New Roman"/>
          <w:sz w:val="28"/>
          <w:szCs w:val="28"/>
        </w:rPr>
        <w:tab/>
      </w:r>
      <w:r w:rsidRPr="0079178E">
        <w:rPr>
          <w:rFonts w:ascii="Times New Roman" w:hAnsi="Times New Roman" w:cs="Times New Roman"/>
          <w:sz w:val="28"/>
          <w:szCs w:val="28"/>
        </w:rPr>
        <w:tab/>
      </w:r>
      <w:r w:rsidRPr="0079178E">
        <w:rPr>
          <w:rFonts w:ascii="Times New Roman" w:hAnsi="Times New Roman" w:cs="Times New Roman"/>
          <w:sz w:val="28"/>
          <w:szCs w:val="28"/>
        </w:rPr>
        <w:tab/>
      </w:r>
      <w:r>
        <w:rPr>
          <w:rFonts w:ascii="Times New Roman" w:hAnsi="Times New Roman" w:cs="Times New Roman"/>
          <w:sz w:val="28"/>
          <w:szCs w:val="28"/>
        </w:rPr>
        <w:t>ΠΡΟΣ:</w:t>
      </w:r>
      <w:r w:rsidR="00F30DDC">
        <w:rPr>
          <w:rFonts w:ascii="Times New Roman" w:hAnsi="Times New Roman" w:cs="Times New Roman"/>
          <w:sz w:val="28"/>
          <w:szCs w:val="28"/>
        </w:rPr>
        <w:t xml:space="preserve"> Υπουργό ΥΠΑΑΤ</w:t>
      </w:r>
    </w:p>
    <w:p w14:paraId="299ED957" w14:textId="77777777" w:rsidR="00F30DDC" w:rsidRDefault="00F30DDC" w:rsidP="008B2607">
      <w:pPr>
        <w:spacing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65D40">
        <w:rPr>
          <w:rFonts w:ascii="Times New Roman" w:hAnsi="Times New Roman" w:cs="Times New Roman"/>
          <w:sz w:val="28"/>
          <w:szCs w:val="28"/>
        </w:rPr>
        <w:t xml:space="preserve">      </w:t>
      </w:r>
      <w:r>
        <w:rPr>
          <w:rFonts w:ascii="Times New Roman" w:hAnsi="Times New Roman" w:cs="Times New Roman"/>
          <w:sz w:val="28"/>
          <w:szCs w:val="28"/>
        </w:rPr>
        <w:t>κ. Τσιάρα Κώστα</w:t>
      </w:r>
    </w:p>
    <w:p w14:paraId="4E049DC5" w14:textId="77777777" w:rsidR="00F30DDC" w:rsidRDefault="00F30DDC" w:rsidP="008B2607">
      <w:pPr>
        <w:spacing w:after="120" w:line="360" w:lineRule="auto"/>
        <w:ind w:firstLine="720"/>
        <w:jc w:val="both"/>
        <w:rPr>
          <w:rFonts w:ascii="Times New Roman" w:hAnsi="Times New Roman" w:cs="Times New Roman"/>
          <w:sz w:val="28"/>
          <w:szCs w:val="28"/>
        </w:rPr>
      </w:pPr>
    </w:p>
    <w:p w14:paraId="22256D21" w14:textId="77777777" w:rsidR="00CA21A1" w:rsidRPr="00837B0A" w:rsidRDefault="00F30DDC" w:rsidP="009A0F0D">
      <w:pPr>
        <w:spacing w:line="254" w:lineRule="auto"/>
        <w:jc w:val="both"/>
        <w:rPr>
          <w:rFonts w:ascii="Calibri" w:hAnsi="Calibri" w:cs="Calibri"/>
          <w:sz w:val="32"/>
          <w:szCs w:val="32"/>
        </w:rPr>
      </w:pPr>
      <w:r w:rsidRPr="00F30DDC">
        <w:rPr>
          <w:rFonts w:ascii="Times New Roman" w:hAnsi="Times New Roman" w:cs="Times New Roman"/>
          <w:b/>
          <w:sz w:val="28"/>
          <w:szCs w:val="28"/>
        </w:rPr>
        <w:t>ΘΕΜΑ</w:t>
      </w:r>
      <w:r w:rsidRPr="00F65D40">
        <w:rPr>
          <w:rFonts w:ascii="Times New Roman" w:hAnsi="Times New Roman" w:cs="Times New Roman"/>
          <w:b/>
          <w:sz w:val="28"/>
          <w:szCs w:val="28"/>
        </w:rPr>
        <w:t xml:space="preserve">: </w:t>
      </w:r>
      <w:r w:rsidR="00CA21A1" w:rsidRPr="00837B0A">
        <w:rPr>
          <w:rFonts w:ascii="Calibri" w:hAnsi="Calibri" w:cs="Calibri"/>
          <w:sz w:val="32"/>
          <w:szCs w:val="32"/>
        </w:rPr>
        <w:t xml:space="preserve">Χορήγηση αναλυτικών στοιχείων σχετικά με την κατανομή του Κινήτρου Επίτευξης Στόχων (Άρθρο 23 Ν. 4940/2022) </w:t>
      </w:r>
    </w:p>
    <w:p w14:paraId="10D8474F" w14:textId="77777777"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t> </w:t>
      </w:r>
    </w:p>
    <w:p w14:paraId="54345DA4" w14:textId="77777777" w:rsidR="00CA21A1" w:rsidRPr="00837B0A" w:rsidRDefault="000B5273" w:rsidP="009A0F0D">
      <w:pPr>
        <w:spacing w:line="254" w:lineRule="auto"/>
        <w:jc w:val="both"/>
        <w:rPr>
          <w:rFonts w:ascii="Calibri" w:hAnsi="Calibri" w:cs="Calibri"/>
          <w:sz w:val="32"/>
          <w:szCs w:val="32"/>
        </w:rPr>
      </w:pPr>
      <w:r w:rsidRPr="00837B0A">
        <w:rPr>
          <w:rFonts w:ascii="Calibri" w:hAnsi="Calibri" w:cs="Calibri"/>
          <w:sz w:val="32"/>
          <w:szCs w:val="32"/>
        </w:rPr>
        <w:t>Κ</w:t>
      </w:r>
      <w:r w:rsidR="00CA21A1" w:rsidRPr="00837B0A">
        <w:rPr>
          <w:rFonts w:ascii="Calibri" w:hAnsi="Calibri" w:cs="Calibri"/>
          <w:sz w:val="32"/>
          <w:szCs w:val="32"/>
        </w:rPr>
        <w:t>ύριε Υπουργέ,</w:t>
      </w:r>
    </w:p>
    <w:p w14:paraId="77F94267" w14:textId="77777777"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t>Η Πανελλήνια Ομοσπονδία Γεωτεχνικών Δημοσίων Υπαλλήλων (Π.Ο.ΓΕ.Δ.Υ.), στο πλαίσιο της θεσμικής της αποστολής και ενεργώντας για την προστασία των νόμιμων και επαγγελματικών συμφερόντων των μελών της, απευθύνεται σε εσάς για ένα ζήτημα μείζονος σημασίας που σχετίζεται με την κατανομή του Κινήτρου Επίτευξης Στόχων, σύμφωνα με το Άρθρο 23 του Ν. 4940/2022, εντός του Υπουργείου Αγροτικής Ανάπτυξης και Τροφίμων.</w:t>
      </w:r>
    </w:p>
    <w:p w14:paraId="307563DA" w14:textId="77777777"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t xml:space="preserve">Για τρίτη συνεχόμενη χρονιά, διαπιστώνεται ότι η καταβολή του ανωτέρω </w:t>
      </w:r>
      <w:proofErr w:type="spellStart"/>
      <w:r w:rsidRPr="00837B0A">
        <w:rPr>
          <w:rFonts w:ascii="Calibri" w:hAnsi="Calibri" w:cs="Calibri"/>
          <w:sz w:val="32"/>
          <w:szCs w:val="32"/>
        </w:rPr>
        <w:t>bonus</w:t>
      </w:r>
      <w:proofErr w:type="spellEnd"/>
      <w:r w:rsidRPr="00837B0A">
        <w:rPr>
          <w:rFonts w:ascii="Calibri" w:hAnsi="Calibri" w:cs="Calibri"/>
          <w:sz w:val="32"/>
          <w:szCs w:val="32"/>
        </w:rPr>
        <w:t xml:space="preserve"> γίνεται κατά τρόπο συστηματικά επαναλαμβανόμενο υπέρ συγκεκριμένων υπαλλήλων και οργανικών μονάδων, ενώ παραμένει αδικαιολόγητη η μη συμμετοχή δεκάδων άλλων υπαλλήλων που επιτελούν έργο ανάλογης υπηρεσιακής σημασίας και υπηρετούν στις περιφερειακές μονάδες του </w:t>
      </w:r>
      <w:proofErr w:type="spellStart"/>
      <w:r w:rsidRPr="00837B0A">
        <w:rPr>
          <w:rFonts w:ascii="Calibri" w:hAnsi="Calibri" w:cs="Calibri"/>
          <w:sz w:val="32"/>
          <w:szCs w:val="32"/>
        </w:rPr>
        <w:t>ΥπΑΑΤ</w:t>
      </w:r>
      <w:proofErr w:type="spellEnd"/>
      <w:r w:rsidRPr="00837B0A">
        <w:rPr>
          <w:rFonts w:ascii="Calibri" w:hAnsi="Calibri" w:cs="Calibri"/>
          <w:sz w:val="32"/>
          <w:szCs w:val="32"/>
        </w:rPr>
        <w:t>.</w:t>
      </w:r>
    </w:p>
    <w:p w14:paraId="2284748B" w14:textId="36C1E0EC"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lastRenderedPageBreak/>
        <w:t xml:space="preserve">Η έλλειψη δημοσιότητας ως προς τα κριτήρια, τις διαδικασίες, τις αξιολογήσεις και τις καταβολές, δημιουργεί εύλογα ερωτήματα, γεννά σοβαρά ζητήματα ίσης μεταχείρισης και, κυρίως, υπονομεύει την εμπιστοσύνη των υπαλλήλων προς τη Διοίκηση. </w:t>
      </w:r>
      <w:hyperlink r:id="rId6" w:history="1">
        <w:r w:rsidRPr="0047283C">
          <w:rPr>
            <w:rStyle w:val="-"/>
            <w:rFonts w:ascii="Calibri" w:hAnsi="Calibri" w:cs="Calibri"/>
            <w:sz w:val="32"/>
            <w:szCs w:val="32"/>
          </w:rPr>
          <w:t>Η πρόσφατη επιστολή της ΠΕΓΔΥ, δημοσίως αναρτημένη,</w:t>
        </w:r>
      </w:hyperlink>
      <w:r w:rsidRPr="00837B0A">
        <w:rPr>
          <w:rFonts w:ascii="Calibri" w:hAnsi="Calibri" w:cs="Calibri"/>
          <w:sz w:val="32"/>
          <w:szCs w:val="32"/>
        </w:rPr>
        <w:t xml:space="preserve"> αποτυπώνει τις ίδιες ακριβώς ανησυχίες, ζητώντας ισότιμη και αντικειμενική εφαρμογή του νόμου για το σύνολο των υπαλλήλων του </w:t>
      </w:r>
      <w:proofErr w:type="spellStart"/>
      <w:r w:rsidRPr="00837B0A">
        <w:rPr>
          <w:rFonts w:ascii="Calibri" w:hAnsi="Calibri" w:cs="Calibri"/>
          <w:sz w:val="32"/>
          <w:szCs w:val="32"/>
        </w:rPr>
        <w:t>ΥπΑΑΤ</w:t>
      </w:r>
      <w:proofErr w:type="spellEnd"/>
      <w:r w:rsidRPr="00837B0A">
        <w:rPr>
          <w:rFonts w:ascii="Calibri" w:hAnsi="Calibri" w:cs="Calibri"/>
          <w:sz w:val="32"/>
          <w:szCs w:val="32"/>
        </w:rPr>
        <w:t>.</w:t>
      </w:r>
    </w:p>
    <w:p w14:paraId="4E77C3E0" w14:textId="77777777"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t>Για τους λόγους αυτούς, και στο όνομα της διαφάνειας και της ισονομίας, η Π.Ο.ΓΕ.Δ.Υ. αιτείται την πλήρη και αναλυτική χορήγηση των κάτωθι στοιχείων, για τα έτη 2022, 2023 και 2024:</w:t>
      </w:r>
    </w:p>
    <w:p w14:paraId="63A237DF" w14:textId="77777777" w:rsidR="00CA21A1" w:rsidRPr="00837B0A" w:rsidRDefault="00CA21A1" w:rsidP="009A0F0D">
      <w:pPr>
        <w:numPr>
          <w:ilvl w:val="0"/>
          <w:numId w:val="2"/>
        </w:numPr>
        <w:spacing w:line="254" w:lineRule="auto"/>
        <w:jc w:val="both"/>
        <w:rPr>
          <w:rFonts w:ascii="Calibri" w:hAnsi="Calibri" w:cs="Calibri"/>
          <w:sz w:val="32"/>
          <w:szCs w:val="32"/>
        </w:rPr>
      </w:pPr>
      <w:r w:rsidRPr="00837B0A">
        <w:rPr>
          <w:rFonts w:ascii="Calibri" w:hAnsi="Calibri" w:cs="Calibri"/>
          <w:sz w:val="32"/>
          <w:szCs w:val="32"/>
        </w:rPr>
        <w:t>Αντίγραφα των αποφάσεων με τις οποίες εγκρίθηκε η καταβολή του Κινήτρου Επίτευξης Στόχων.</w:t>
      </w:r>
    </w:p>
    <w:p w14:paraId="61465B7F" w14:textId="77777777" w:rsidR="00CA21A1" w:rsidRPr="00837B0A" w:rsidRDefault="00CA21A1" w:rsidP="009A0F0D">
      <w:pPr>
        <w:numPr>
          <w:ilvl w:val="0"/>
          <w:numId w:val="2"/>
        </w:numPr>
        <w:spacing w:line="254" w:lineRule="auto"/>
        <w:jc w:val="both"/>
        <w:rPr>
          <w:rFonts w:ascii="Calibri" w:hAnsi="Calibri" w:cs="Calibri"/>
          <w:sz w:val="32"/>
          <w:szCs w:val="32"/>
        </w:rPr>
      </w:pPr>
      <w:r w:rsidRPr="00837B0A">
        <w:rPr>
          <w:rFonts w:ascii="Calibri" w:hAnsi="Calibri" w:cs="Calibri"/>
          <w:sz w:val="32"/>
          <w:szCs w:val="32"/>
        </w:rPr>
        <w:t xml:space="preserve">Ονομαστική κατάσταση υπαλλήλων που έλαβαν το σχετικό </w:t>
      </w:r>
      <w:proofErr w:type="spellStart"/>
      <w:r w:rsidRPr="00837B0A">
        <w:rPr>
          <w:rFonts w:ascii="Calibri" w:hAnsi="Calibri" w:cs="Calibri"/>
          <w:sz w:val="32"/>
          <w:szCs w:val="32"/>
        </w:rPr>
        <w:t>bonus</w:t>
      </w:r>
      <w:proofErr w:type="spellEnd"/>
      <w:r w:rsidRPr="00837B0A">
        <w:rPr>
          <w:rFonts w:ascii="Calibri" w:hAnsi="Calibri" w:cs="Calibri"/>
          <w:sz w:val="32"/>
          <w:szCs w:val="32"/>
        </w:rPr>
        <w:t>, ανά έτος, με αναφορά στο ποσό που έλαβε έκαστος, τη Διεύθυνση ή Τμήμα όπου ανήκει και στα έργα – ορόσημα του ΕΣΚΥΠ στα οποία φέρεται να συμμετείχε.</w:t>
      </w:r>
    </w:p>
    <w:p w14:paraId="63311025" w14:textId="77777777" w:rsidR="00CA21A1" w:rsidRPr="00837B0A" w:rsidRDefault="00CA21A1" w:rsidP="009A0F0D">
      <w:pPr>
        <w:numPr>
          <w:ilvl w:val="0"/>
          <w:numId w:val="2"/>
        </w:numPr>
        <w:spacing w:line="254" w:lineRule="auto"/>
        <w:jc w:val="both"/>
        <w:rPr>
          <w:rFonts w:ascii="Calibri" w:hAnsi="Calibri" w:cs="Calibri"/>
          <w:sz w:val="32"/>
          <w:szCs w:val="32"/>
        </w:rPr>
      </w:pPr>
      <w:r w:rsidRPr="00837B0A">
        <w:rPr>
          <w:rFonts w:ascii="Calibri" w:hAnsi="Calibri" w:cs="Calibri"/>
          <w:sz w:val="32"/>
          <w:szCs w:val="32"/>
        </w:rPr>
        <w:t>Τα κριτήρια αξιολόγησης, δείκτες απόδοσης και τα μεθοδολογικά εργαλεία που χρησιμοποιήθηκαν.</w:t>
      </w:r>
    </w:p>
    <w:p w14:paraId="6C4542B1" w14:textId="77777777"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t>Το έννομο συμφέρον της Ομοσπονδίας θεμελιώνεται στην ιδιότητά της ως συλλογικού οργάνου που εκπροσωπεί υπαλλήλους του Υπουργείου, οι οποίοι δυνητικά θίγονται από τη συγκεκριμένη και επαναλαμβανόμενη διοικητική πρακτική.</w:t>
      </w:r>
    </w:p>
    <w:p w14:paraId="381C65AE" w14:textId="77777777" w:rsidR="00CA21A1" w:rsidRPr="00837B0A" w:rsidRDefault="00CA21A1" w:rsidP="009A0F0D">
      <w:pPr>
        <w:spacing w:line="254" w:lineRule="auto"/>
        <w:jc w:val="both"/>
        <w:rPr>
          <w:rFonts w:ascii="Calibri" w:hAnsi="Calibri" w:cs="Calibri"/>
          <w:sz w:val="32"/>
          <w:szCs w:val="32"/>
        </w:rPr>
      </w:pPr>
      <w:r w:rsidRPr="00837B0A">
        <w:rPr>
          <w:rFonts w:ascii="Calibri" w:hAnsi="Calibri" w:cs="Calibri"/>
          <w:sz w:val="32"/>
          <w:szCs w:val="32"/>
        </w:rPr>
        <w:t xml:space="preserve">Η Ομοσπονδία μας ζητεί τα ανωτέρω στοιχεία πρωτίστως για λόγους θεσμικής διαφάνειας και αποκατάστασης της εμπιστοσύνης στη λειτουργία της Διοίκησης. Εάν τα ανωτέρω στοιχεία επιβεβαιώνουν ότι η επιλογή υπήρξε εύλογη, αντικειμενική και νόμιμη, τότε η δημοσιοποίησή τους θα λειτουργήσει καθησυχαστικά και </w:t>
      </w:r>
      <w:proofErr w:type="spellStart"/>
      <w:r w:rsidRPr="00837B0A">
        <w:rPr>
          <w:rFonts w:ascii="Calibri" w:hAnsi="Calibri" w:cs="Calibri"/>
          <w:sz w:val="32"/>
          <w:szCs w:val="32"/>
        </w:rPr>
        <w:t>αποδομητικά</w:t>
      </w:r>
      <w:proofErr w:type="spellEnd"/>
      <w:r w:rsidRPr="00837B0A">
        <w:rPr>
          <w:rFonts w:ascii="Calibri" w:hAnsi="Calibri" w:cs="Calibri"/>
          <w:sz w:val="32"/>
          <w:szCs w:val="32"/>
        </w:rPr>
        <w:t xml:space="preserve"> κάθε υπόνοιας. </w:t>
      </w:r>
      <w:r w:rsidRPr="00837B0A">
        <w:rPr>
          <w:rFonts w:ascii="Calibri" w:hAnsi="Calibri" w:cs="Calibri"/>
          <w:sz w:val="32"/>
          <w:szCs w:val="32"/>
        </w:rPr>
        <w:lastRenderedPageBreak/>
        <w:t>Εάν, αντιθέτως, δεν τεκμηριώνεται η επιλογή συγκεκριμένων υπαλλήλων και οργανικών μονάδων, τότε θα πρέπει να διερευνηθούν οι λόγοι της επιλεκτικής μεταχείρισης και να αποδοθούν σχετικές ευθύνες.</w:t>
      </w:r>
    </w:p>
    <w:p w14:paraId="347594E9" w14:textId="77777777" w:rsidR="00CA21A1" w:rsidRPr="00837B0A" w:rsidRDefault="00786346" w:rsidP="009A0F0D">
      <w:pPr>
        <w:spacing w:line="254" w:lineRule="auto"/>
        <w:jc w:val="both"/>
        <w:rPr>
          <w:rFonts w:ascii="Calibri" w:hAnsi="Calibri" w:cs="Calibri"/>
          <w:sz w:val="32"/>
          <w:szCs w:val="32"/>
        </w:rPr>
      </w:pPr>
      <w:r w:rsidRPr="00837B0A">
        <w:rPr>
          <w:rFonts w:ascii="Calibri" w:hAnsi="Calibri" w:cs="Calibri"/>
          <w:sz w:val="32"/>
          <w:szCs w:val="32"/>
        </w:rPr>
        <w:t xml:space="preserve">Περιμένουμε </w:t>
      </w:r>
      <w:r w:rsidR="00CA21A1" w:rsidRPr="00837B0A">
        <w:rPr>
          <w:rFonts w:ascii="Calibri" w:hAnsi="Calibri" w:cs="Calibri"/>
          <w:sz w:val="32"/>
          <w:szCs w:val="32"/>
        </w:rPr>
        <w:t xml:space="preserve"> για την άμεση ανταπόκριση στο αίτημα αυτό εντός ευλόγου χρονικού διαστήματος, άλλως η Ομοσπονδία επιφυλάσσεται να ασκήσει όλα τα προβλεπόμενα έννομα μέσα και διοικητικά ένδικα βοηθήματα, συμπεριλαμβανομένης της προσφυγής στα αρμόδια Δικαστήρια προκειμένου να διασφαλιστεί η διαφάνεια, η νομιμότητα, η ισότητα και η λογοδοσία.</w:t>
      </w:r>
    </w:p>
    <w:p w14:paraId="1DDE7A2D" w14:textId="77777777" w:rsidR="00AC645E" w:rsidRPr="008F6283" w:rsidRDefault="00AC645E" w:rsidP="00CA21A1">
      <w:pPr>
        <w:spacing w:after="120" w:line="360" w:lineRule="auto"/>
        <w:ind w:firstLine="720"/>
        <w:jc w:val="both"/>
        <w:rPr>
          <w:rFonts w:ascii="Times New Roman" w:hAnsi="Times New Roman" w:cs="Times New Roman"/>
          <w:b/>
          <w:sz w:val="28"/>
          <w:szCs w:val="28"/>
        </w:rPr>
      </w:pPr>
    </w:p>
    <w:p w14:paraId="7B01C76B" w14:textId="77777777" w:rsidR="008B2607" w:rsidRPr="008F6283" w:rsidRDefault="008B2607" w:rsidP="008B2607">
      <w:pPr>
        <w:ind w:right="-193"/>
        <w:jc w:val="center"/>
        <w:outlineLvl w:val="0"/>
        <w:rPr>
          <w:rFonts w:ascii="Times New Roman" w:hAnsi="Times New Roman" w:cs="Times New Roman"/>
          <w:b/>
          <w:bCs/>
          <w:sz w:val="28"/>
          <w:szCs w:val="28"/>
        </w:rPr>
      </w:pPr>
      <w:r w:rsidRPr="008F6283">
        <w:rPr>
          <w:rFonts w:ascii="Times New Roman" w:hAnsi="Times New Roman" w:cs="Times New Roman"/>
          <w:b/>
          <w:bCs/>
          <w:sz w:val="28"/>
          <w:szCs w:val="28"/>
        </w:rPr>
        <w:t>Για το Δ.Σ.</w:t>
      </w:r>
    </w:p>
    <w:tbl>
      <w:tblPr>
        <w:tblW w:w="0" w:type="auto"/>
        <w:tblLook w:val="01E0" w:firstRow="1" w:lastRow="1" w:firstColumn="1" w:lastColumn="1" w:noHBand="0" w:noVBand="0"/>
      </w:tblPr>
      <w:tblGrid>
        <w:gridCol w:w="2110"/>
        <w:gridCol w:w="3352"/>
        <w:gridCol w:w="2844"/>
      </w:tblGrid>
      <w:tr w:rsidR="008B2607" w:rsidRPr="008F6283" w14:paraId="21E06146" w14:textId="77777777" w:rsidTr="00050AFF">
        <w:trPr>
          <w:trHeight w:val="2716"/>
        </w:trPr>
        <w:tc>
          <w:tcPr>
            <w:tcW w:w="2628" w:type="dxa"/>
          </w:tcPr>
          <w:p w14:paraId="0E4C411F" w14:textId="77777777" w:rsidR="008B2607" w:rsidRPr="008F6283" w:rsidRDefault="008B2607" w:rsidP="00050AFF">
            <w:pPr>
              <w:spacing w:line="360" w:lineRule="auto"/>
              <w:ind w:right="-1054"/>
              <w:jc w:val="both"/>
              <w:rPr>
                <w:rFonts w:ascii="Times New Roman" w:hAnsi="Times New Roman" w:cs="Times New Roman"/>
                <w:b/>
                <w:sz w:val="28"/>
                <w:szCs w:val="28"/>
              </w:rPr>
            </w:pPr>
            <w:r w:rsidRPr="008F6283">
              <w:rPr>
                <w:rFonts w:ascii="Times New Roman" w:hAnsi="Times New Roman" w:cs="Times New Roman"/>
                <w:b/>
                <w:sz w:val="28"/>
                <w:szCs w:val="28"/>
              </w:rPr>
              <w:t xml:space="preserve">  Ο  ΠΡΟΕΔΡΟΣ</w:t>
            </w:r>
          </w:p>
          <w:p w14:paraId="1E6AEF72" w14:textId="77777777" w:rsidR="008B2607" w:rsidRPr="008F6283" w:rsidRDefault="008B2607" w:rsidP="00050AFF">
            <w:pPr>
              <w:spacing w:line="360" w:lineRule="auto"/>
              <w:ind w:right="-1054"/>
              <w:jc w:val="both"/>
              <w:rPr>
                <w:rFonts w:ascii="Times New Roman" w:hAnsi="Times New Roman" w:cs="Times New Roman"/>
                <w:b/>
                <w:sz w:val="28"/>
                <w:szCs w:val="28"/>
              </w:rPr>
            </w:pPr>
          </w:p>
          <w:p w14:paraId="0770B033" w14:textId="77777777" w:rsidR="008B2607" w:rsidRPr="008F6283" w:rsidRDefault="008B2607" w:rsidP="00050AFF">
            <w:pPr>
              <w:spacing w:line="360" w:lineRule="auto"/>
              <w:ind w:right="-1054"/>
              <w:jc w:val="both"/>
              <w:rPr>
                <w:rFonts w:ascii="Times New Roman" w:hAnsi="Times New Roman" w:cs="Times New Roman"/>
                <w:b/>
                <w:sz w:val="28"/>
                <w:szCs w:val="28"/>
              </w:rPr>
            </w:pPr>
          </w:p>
          <w:p w14:paraId="09244875" w14:textId="77777777" w:rsidR="008B2607" w:rsidRPr="008F6283" w:rsidRDefault="008B2607" w:rsidP="00050AFF">
            <w:pPr>
              <w:spacing w:line="360" w:lineRule="auto"/>
              <w:ind w:right="-1054"/>
              <w:jc w:val="both"/>
              <w:rPr>
                <w:rFonts w:ascii="Times New Roman" w:hAnsi="Times New Roman" w:cs="Times New Roman"/>
                <w:b/>
                <w:sz w:val="28"/>
                <w:szCs w:val="28"/>
              </w:rPr>
            </w:pPr>
            <w:r w:rsidRPr="008F6283">
              <w:rPr>
                <w:rFonts w:ascii="Times New Roman" w:hAnsi="Times New Roman" w:cs="Times New Roman"/>
                <w:b/>
                <w:sz w:val="28"/>
                <w:szCs w:val="28"/>
              </w:rPr>
              <w:t xml:space="preserve">  Ν.  ΚΑΚΑΒΑΣ</w:t>
            </w:r>
          </w:p>
        </w:tc>
        <w:tc>
          <w:tcPr>
            <w:tcW w:w="3420" w:type="dxa"/>
          </w:tcPr>
          <w:p w14:paraId="4FFC5F42" w14:textId="77777777" w:rsidR="008B2607" w:rsidRPr="008F6283" w:rsidRDefault="008B2607" w:rsidP="00050AFF">
            <w:pPr>
              <w:spacing w:line="360" w:lineRule="auto"/>
              <w:ind w:right="-1054"/>
              <w:jc w:val="center"/>
              <w:rPr>
                <w:rFonts w:ascii="Times New Roman" w:hAnsi="Times New Roman" w:cs="Times New Roman"/>
                <w:b/>
                <w:sz w:val="28"/>
                <w:szCs w:val="28"/>
              </w:rPr>
            </w:pPr>
            <w:r w:rsidRPr="008F6283">
              <w:rPr>
                <w:rFonts w:ascii="Times New Roman" w:hAnsi="Times New Roman" w:cs="Times New Roman"/>
                <w:b/>
                <w:noProof/>
                <w:sz w:val="28"/>
                <w:szCs w:val="28"/>
                <w:lang w:eastAsia="el-GR"/>
              </w:rPr>
              <w:drawing>
                <wp:inline distT="0" distB="0" distL="0" distR="0" wp14:anchorId="042347D8" wp14:editId="5887E004">
                  <wp:extent cx="1933575" cy="17430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33575" cy="1743075"/>
                          </a:xfrm>
                          <a:prstGeom prst="rect">
                            <a:avLst/>
                          </a:prstGeom>
                          <a:noFill/>
                          <a:ln w="9525">
                            <a:noFill/>
                            <a:miter lim="800000"/>
                            <a:headEnd/>
                            <a:tailEnd/>
                          </a:ln>
                        </pic:spPr>
                      </pic:pic>
                    </a:graphicData>
                  </a:graphic>
                </wp:inline>
              </w:drawing>
            </w:r>
          </w:p>
        </w:tc>
        <w:tc>
          <w:tcPr>
            <w:tcW w:w="3806" w:type="dxa"/>
          </w:tcPr>
          <w:p w14:paraId="1FDF4E01" w14:textId="77777777" w:rsidR="008B2607" w:rsidRPr="008F6283" w:rsidRDefault="008B2607" w:rsidP="00050AFF">
            <w:pPr>
              <w:spacing w:line="360" w:lineRule="auto"/>
              <w:ind w:right="-1054"/>
              <w:rPr>
                <w:rFonts w:ascii="Times New Roman" w:hAnsi="Times New Roman" w:cs="Times New Roman"/>
                <w:b/>
                <w:sz w:val="28"/>
                <w:szCs w:val="28"/>
              </w:rPr>
            </w:pPr>
            <w:r w:rsidRPr="008F6283">
              <w:rPr>
                <w:rFonts w:ascii="Times New Roman" w:hAnsi="Times New Roman" w:cs="Times New Roman"/>
                <w:b/>
                <w:sz w:val="28"/>
                <w:szCs w:val="28"/>
              </w:rPr>
              <w:t>Ο  ΓΕΝΙΚΟΣ  ΓΡΑΜΜΑΤΕΑΣ</w:t>
            </w:r>
          </w:p>
          <w:p w14:paraId="54C04CD6" w14:textId="77777777" w:rsidR="008B2607" w:rsidRPr="008F6283" w:rsidRDefault="008B2607" w:rsidP="00050AFF">
            <w:pPr>
              <w:spacing w:line="360" w:lineRule="auto"/>
              <w:ind w:right="-1054"/>
              <w:jc w:val="both"/>
              <w:rPr>
                <w:rFonts w:ascii="Times New Roman" w:hAnsi="Times New Roman" w:cs="Times New Roman"/>
                <w:b/>
                <w:sz w:val="28"/>
                <w:szCs w:val="28"/>
              </w:rPr>
            </w:pPr>
          </w:p>
          <w:p w14:paraId="70508ABA" w14:textId="77777777" w:rsidR="008B2607" w:rsidRPr="008F6283" w:rsidRDefault="008B2607" w:rsidP="00050AFF">
            <w:pPr>
              <w:spacing w:line="360" w:lineRule="auto"/>
              <w:ind w:right="-1054"/>
              <w:jc w:val="both"/>
              <w:rPr>
                <w:rFonts w:ascii="Times New Roman" w:hAnsi="Times New Roman" w:cs="Times New Roman"/>
                <w:b/>
                <w:sz w:val="28"/>
                <w:szCs w:val="28"/>
              </w:rPr>
            </w:pPr>
          </w:p>
          <w:p w14:paraId="5CE6EB5E" w14:textId="77777777" w:rsidR="008B2607" w:rsidRPr="008F6283" w:rsidRDefault="008F6283" w:rsidP="00050AFF">
            <w:pPr>
              <w:spacing w:line="360" w:lineRule="auto"/>
              <w:ind w:right="-1054"/>
              <w:jc w:val="both"/>
              <w:rPr>
                <w:rFonts w:ascii="Times New Roman" w:hAnsi="Times New Roman" w:cs="Times New Roman"/>
                <w:b/>
                <w:sz w:val="28"/>
                <w:szCs w:val="28"/>
              </w:rPr>
            </w:pPr>
            <w:r w:rsidRPr="008F6283">
              <w:rPr>
                <w:rFonts w:ascii="Times New Roman" w:hAnsi="Times New Roman" w:cs="Times New Roman"/>
                <w:b/>
                <w:sz w:val="28"/>
                <w:szCs w:val="28"/>
              </w:rPr>
              <w:t xml:space="preserve">       </w:t>
            </w:r>
            <w:r w:rsidR="008B2607" w:rsidRPr="008F6283">
              <w:rPr>
                <w:rFonts w:ascii="Times New Roman" w:hAnsi="Times New Roman" w:cs="Times New Roman"/>
                <w:b/>
                <w:sz w:val="28"/>
                <w:szCs w:val="28"/>
              </w:rPr>
              <w:t xml:space="preserve"> ΣΠ.  ΚΑΤΣΙΠΟΔΑΣ</w:t>
            </w:r>
          </w:p>
        </w:tc>
      </w:tr>
    </w:tbl>
    <w:p w14:paraId="38007207" w14:textId="77777777" w:rsidR="008B2607" w:rsidRPr="008B2607" w:rsidRDefault="008B2607" w:rsidP="008F6283">
      <w:pPr>
        <w:spacing w:after="120" w:line="360" w:lineRule="auto"/>
        <w:ind w:right="-766"/>
        <w:jc w:val="both"/>
        <w:rPr>
          <w:rFonts w:ascii="Times New Roman" w:hAnsi="Times New Roman" w:cs="Times New Roman"/>
          <w:sz w:val="28"/>
          <w:szCs w:val="28"/>
        </w:rPr>
      </w:pPr>
    </w:p>
    <w:sectPr w:rsidR="008B2607" w:rsidRPr="008B2607" w:rsidSect="002A0C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1BE6056F"/>
    <w:multiLevelType w:val="multilevel"/>
    <w:tmpl w:val="9426F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98164417">
    <w:abstractNumId w:val="0"/>
  </w:num>
  <w:num w:numId="2" w16cid:durableId="1418557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C"/>
    <w:rsid w:val="0003042D"/>
    <w:rsid w:val="000B5273"/>
    <w:rsid w:val="0015173E"/>
    <w:rsid w:val="001939FF"/>
    <w:rsid w:val="001B2558"/>
    <w:rsid w:val="001B7FDA"/>
    <w:rsid w:val="001D5441"/>
    <w:rsid w:val="001E1E2D"/>
    <w:rsid w:val="001E31D5"/>
    <w:rsid w:val="00205A90"/>
    <w:rsid w:val="00223F8E"/>
    <w:rsid w:val="00241A53"/>
    <w:rsid w:val="002815A7"/>
    <w:rsid w:val="00286514"/>
    <w:rsid w:val="002A0CF2"/>
    <w:rsid w:val="002A5444"/>
    <w:rsid w:val="002F04ED"/>
    <w:rsid w:val="0030202C"/>
    <w:rsid w:val="00393F1A"/>
    <w:rsid w:val="004024E7"/>
    <w:rsid w:val="004057B7"/>
    <w:rsid w:val="004365A2"/>
    <w:rsid w:val="0047283C"/>
    <w:rsid w:val="004A4CBE"/>
    <w:rsid w:val="004E7611"/>
    <w:rsid w:val="004F0A89"/>
    <w:rsid w:val="0052768A"/>
    <w:rsid w:val="00571FEE"/>
    <w:rsid w:val="005D55B9"/>
    <w:rsid w:val="005E3220"/>
    <w:rsid w:val="005E5E9B"/>
    <w:rsid w:val="005F4BEF"/>
    <w:rsid w:val="0060111A"/>
    <w:rsid w:val="00605652"/>
    <w:rsid w:val="00627180"/>
    <w:rsid w:val="006C3668"/>
    <w:rsid w:val="006D45D8"/>
    <w:rsid w:val="00756D96"/>
    <w:rsid w:val="00780BF2"/>
    <w:rsid w:val="00786346"/>
    <w:rsid w:val="0079178E"/>
    <w:rsid w:val="007922CC"/>
    <w:rsid w:val="00793330"/>
    <w:rsid w:val="007C6026"/>
    <w:rsid w:val="007F3D3B"/>
    <w:rsid w:val="00815040"/>
    <w:rsid w:val="008363F3"/>
    <w:rsid w:val="00837B0A"/>
    <w:rsid w:val="00853DDE"/>
    <w:rsid w:val="00854120"/>
    <w:rsid w:val="00870D95"/>
    <w:rsid w:val="0089643B"/>
    <w:rsid w:val="008B18BE"/>
    <w:rsid w:val="008B2607"/>
    <w:rsid w:val="008F4A8B"/>
    <w:rsid w:val="008F6283"/>
    <w:rsid w:val="00905924"/>
    <w:rsid w:val="00937663"/>
    <w:rsid w:val="00974DD4"/>
    <w:rsid w:val="009A0F0D"/>
    <w:rsid w:val="009B2129"/>
    <w:rsid w:val="00A01B63"/>
    <w:rsid w:val="00A12D56"/>
    <w:rsid w:val="00A17354"/>
    <w:rsid w:val="00A20595"/>
    <w:rsid w:val="00A30E33"/>
    <w:rsid w:val="00A44AD2"/>
    <w:rsid w:val="00A47371"/>
    <w:rsid w:val="00AA61E4"/>
    <w:rsid w:val="00AB5953"/>
    <w:rsid w:val="00AC645E"/>
    <w:rsid w:val="00AC7311"/>
    <w:rsid w:val="00AE3CE4"/>
    <w:rsid w:val="00B61FE0"/>
    <w:rsid w:val="00B756B3"/>
    <w:rsid w:val="00BA397F"/>
    <w:rsid w:val="00BB7D83"/>
    <w:rsid w:val="00BE6CCC"/>
    <w:rsid w:val="00C14623"/>
    <w:rsid w:val="00C23A3D"/>
    <w:rsid w:val="00C71205"/>
    <w:rsid w:val="00C7393C"/>
    <w:rsid w:val="00CA21A1"/>
    <w:rsid w:val="00CC791F"/>
    <w:rsid w:val="00CD05E7"/>
    <w:rsid w:val="00CF1053"/>
    <w:rsid w:val="00D03918"/>
    <w:rsid w:val="00D14BC5"/>
    <w:rsid w:val="00D15C35"/>
    <w:rsid w:val="00D46DAD"/>
    <w:rsid w:val="00D6448F"/>
    <w:rsid w:val="00D73EA3"/>
    <w:rsid w:val="00D862FB"/>
    <w:rsid w:val="00DC0A48"/>
    <w:rsid w:val="00DE462B"/>
    <w:rsid w:val="00DE7A36"/>
    <w:rsid w:val="00E374B1"/>
    <w:rsid w:val="00E940FE"/>
    <w:rsid w:val="00ED39B2"/>
    <w:rsid w:val="00EF04B8"/>
    <w:rsid w:val="00F30DDC"/>
    <w:rsid w:val="00F54C89"/>
    <w:rsid w:val="00F65D40"/>
    <w:rsid w:val="00FE675B"/>
    <w:rsid w:val="00FF15E0"/>
    <w:rsid w:val="00FF2B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4C23"/>
  <w15:docId w15:val="{72F89ACA-9669-4B81-9F06-5B407BFB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CF2"/>
  </w:style>
  <w:style w:type="paragraph" w:styleId="1">
    <w:name w:val="heading 1"/>
    <w:basedOn w:val="a"/>
    <w:next w:val="a"/>
    <w:link w:val="1Char"/>
    <w:qFormat/>
    <w:rsid w:val="008B2607"/>
    <w:pPr>
      <w:keepNext/>
      <w:numPr>
        <w:numId w:val="1"/>
      </w:numPr>
      <w:suppressAutoHyphens/>
      <w:spacing w:after="0" w:line="240" w:lineRule="auto"/>
      <w:ind w:left="0" w:right="34" w:firstLine="0"/>
      <w:jc w:val="center"/>
      <w:outlineLvl w:val="0"/>
    </w:pPr>
    <w:rPr>
      <w:rFonts w:ascii="Times New Roman" w:eastAsia="Times New Roman" w:hAnsi="Times New Roman" w:cs="Times New Roman"/>
      <w:b/>
      <w:kern w:val="0"/>
      <w:sz w:val="26"/>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B2607"/>
    <w:rPr>
      <w:rFonts w:ascii="Times New Roman" w:eastAsia="Times New Roman" w:hAnsi="Times New Roman" w:cs="Times New Roman"/>
      <w:b/>
      <w:kern w:val="0"/>
      <w:sz w:val="26"/>
      <w:szCs w:val="24"/>
      <w:lang w:eastAsia="zh-CN"/>
    </w:rPr>
  </w:style>
  <w:style w:type="paragraph" w:styleId="a3">
    <w:name w:val="Balloon Text"/>
    <w:basedOn w:val="a"/>
    <w:link w:val="Char"/>
    <w:uiPriority w:val="99"/>
    <w:semiHidden/>
    <w:unhideWhenUsed/>
    <w:rsid w:val="008B26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B2607"/>
    <w:rPr>
      <w:rFonts w:ascii="Tahoma" w:hAnsi="Tahoma" w:cs="Tahoma"/>
      <w:sz w:val="16"/>
      <w:szCs w:val="16"/>
    </w:rPr>
  </w:style>
  <w:style w:type="character" w:styleId="-">
    <w:name w:val="Hyperlink"/>
    <w:basedOn w:val="a0"/>
    <w:uiPriority w:val="99"/>
    <w:unhideWhenUsed/>
    <w:rsid w:val="0047283C"/>
    <w:rPr>
      <w:color w:val="0563C1" w:themeColor="hyperlink"/>
      <w:u w:val="single"/>
    </w:rPr>
  </w:style>
  <w:style w:type="character" w:styleId="a4">
    <w:name w:val="Unresolved Mention"/>
    <w:basedOn w:val="a0"/>
    <w:uiPriority w:val="99"/>
    <w:semiHidden/>
    <w:unhideWhenUsed/>
    <w:rsid w:val="00472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gdy.gr/%ce%b4%ce%af%ce%ba%ce%b1%ce%b9%ce%b7-%ce%ba%ce%b1%cf%84%ce%b1%ce%bd%ce%bf%ce%bc%ce%ae-%cf%83%cf%84%ce%b7-%cf%87%ce%bf%cf%81%ce%ae%ce%b3%ce%b7%cf%83%ce%b7-%cf%84%ce%bf%cf%85-%ce%ba%ce%b9%ce%bd%ce%a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A5274-6DCF-45D8-AC23-DF19FD20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3081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2025-12-22T23:12:00Z</dcterms:created>
  <dcterms:modified xsi:type="dcterms:W3CDTF">2025-12-22T23:12:00Z</dcterms:modified>
</cp:coreProperties>
</file>