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C9076F" w:rsidTr="003A62E5">
        <w:trPr>
          <w:jc w:val="center"/>
        </w:trPr>
        <w:tc>
          <w:tcPr>
            <w:tcW w:w="9923" w:type="dxa"/>
          </w:tcPr>
          <w:p w:rsidR="00C9076F" w:rsidRPr="002100BE" w:rsidRDefault="00C9076F" w:rsidP="003314B3">
            <w:pPr>
              <w:pStyle w:val="1"/>
              <w:spacing w:after="100"/>
              <w:rPr>
                <w:bCs/>
                <w:sz w:val="24"/>
              </w:rPr>
            </w:pPr>
            <w:bookmarkStart w:id="0" w:name="_Hlk213504691"/>
            <w:bookmarkEnd w:id="0"/>
            <w:r w:rsidRPr="002100BE">
              <w:rPr>
                <w:sz w:val="24"/>
              </w:rPr>
              <w:t>ΠΑΝΕΛΛΗΝΙΑ ΟΜΟΣΠΟΝΔΙΑ ΓΕΩΤΕΧΝΙΚΩΝ ΔΗΜΟΣΙΩΝ ΥΠΑΛΛΗΛΩΝ</w:t>
            </w:r>
          </w:p>
          <w:p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r w:rsidRPr="00AB599F">
              <w:rPr>
                <w:rFonts w:ascii="Times New Roman" w:hAnsi="Times New Roman"/>
                <w:bCs/>
                <w:sz w:val="24"/>
                <w:szCs w:val="24"/>
                <w:lang w:val="en-US"/>
              </w:rPr>
              <w:t>gr</w:t>
            </w:r>
          </w:p>
        </w:tc>
      </w:tr>
    </w:tbl>
    <w:p w:rsidR="008278C0" w:rsidRPr="004227E0" w:rsidRDefault="008278C0" w:rsidP="008278C0">
      <w:pPr>
        <w:spacing w:line="240" w:lineRule="auto"/>
        <w:ind w:left="5760"/>
        <w:jc w:val="right"/>
        <w:rPr>
          <w:rFonts w:ascii="Times New Roman" w:hAnsi="Times New Roman"/>
          <w:b/>
          <w:bCs/>
          <w:sz w:val="6"/>
          <w:szCs w:val="6"/>
        </w:rPr>
      </w:pPr>
    </w:p>
    <w:p w:rsidR="00D52286" w:rsidRPr="00BD3DA1" w:rsidRDefault="00D52286" w:rsidP="004227E0">
      <w:pPr>
        <w:spacing w:after="0" w:line="240" w:lineRule="auto"/>
        <w:ind w:left="5761" w:right="340"/>
        <w:jc w:val="right"/>
        <w:rPr>
          <w:rFonts w:ascii="Times New Roman" w:hAnsi="Times New Roman"/>
          <w:b/>
          <w:bCs/>
          <w:sz w:val="28"/>
          <w:szCs w:val="28"/>
        </w:rPr>
      </w:pPr>
    </w:p>
    <w:p w:rsidR="00093D4D" w:rsidRPr="00320C67" w:rsidRDefault="000D6359" w:rsidP="004227E0">
      <w:pPr>
        <w:spacing w:after="0" w:line="240" w:lineRule="auto"/>
        <w:ind w:left="5761" w:right="340"/>
        <w:jc w:val="right"/>
        <w:rPr>
          <w:rFonts w:ascii="Times New Roman" w:hAnsi="Times New Roman"/>
          <w:b/>
          <w:bCs/>
          <w:sz w:val="28"/>
          <w:szCs w:val="28"/>
        </w:rPr>
      </w:pPr>
      <w:r>
        <w:rPr>
          <w:rFonts w:ascii="Times New Roman" w:hAnsi="Times New Roman"/>
          <w:b/>
          <w:bCs/>
          <w:sz w:val="28"/>
          <w:szCs w:val="28"/>
        </w:rPr>
        <w:t>Αθήνα</w:t>
      </w:r>
      <w:r w:rsidR="00601FDB">
        <w:rPr>
          <w:rFonts w:ascii="Times New Roman" w:hAnsi="Times New Roman"/>
          <w:b/>
          <w:bCs/>
          <w:sz w:val="28"/>
          <w:szCs w:val="28"/>
        </w:rPr>
        <w:t xml:space="preserve"> </w:t>
      </w:r>
      <w:r w:rsidR="00D30EEA">
        <w:rPr>
          <w:rFonts w:ascii="Times New Roman" w:hAnsi="Times New Roman"/>
          <w:b/>
          <w:bCs/>
          <w:sz w:val="28"/>
          <w:szCs w:val="28"/>
        </w:rPr>
        <w:t xml:space="preserve"> </w:t>
      </w:r>
      <w:r w:rsidR="007B4ED7" w:rsidRPr="001D18E6">
        <w:rPr>
          <w:rFonts w:ascii="Times New Roman" w:hAnsi="Times New Roman"/>
          <w:b/>
          <w:bCs/>
          <w:sz w:val="28"/>
          <w:szCs w:val="28"/>
        </w:rPr>
        <w:t>5</w:t>
      </w:r>
      <w:r w:rsidR="00881E9F">
        <w:rPr>
          <w:rFonts w:ascii="Times New Roman" w:hAnsi="Times New Roman"/>
          <w:b/>
          <w:bCs/>
          <w:sz w:val="28"/>
          <w:szCs w:val="28"/>
        </w:rPr>
        <w:t>-12</w:t>
      </w:r>
      <w:r w:rsidR="007759AC" w:rsidRPr="00A73A7C">
        <w:rPr>
          <w:rFonts w:ascii="Times New Roman" w:hAnsi="Times New Roman"/>
          <w:b/>
          <w:bCs/>
          <w:sz w:val="28"/>
          <w:szCs w:val="28"/>
        </w:rPr>
        <w:t>-20</w:t>
      </w:r>
      <w:r w:rsidR="00490F12">
        <w:rPr>
          <w:rFonts w:ascii="Times New Roman" w:hAnsi="Times New Roman"/>
          <w:b/>
          <w:bCs/>
          <w:sz w:val="28"/>
          <w:szCs w:val="28"/>
        </w:rPr>
        <w:t>25</w:t>
      </w:r>
    </w:p>
    <w:p w:rsidR="00320C67" w:rsidRPr="00320C67" w:rsidRDefault="00320C67" w:rsidP="004227E0">
      <w:pPr>
        <w:spacing w:after="0" w:line="240" w:lineRule="auto"/>
        <w:ind w:left="5761" w:right="340"/>
        <w:jc w:val="right"/>
        <w:rPr>
          <w:rFonts w:ascii="Times New Roman" w:hAnsi="Times New Roman"/>
          <w:b/>
          <w:bCs/>
          <w:sz w:val="28"/>
          <w:szCs w:val="28"/>
        </w:rPr>
      </w:pPr>
    </w:p>
    <w:p w:rsidR="00E26B4E" w:rsidRPr="00E26B4E" w:rsidRDefault="00E26B4E" w:rsidP="000C7053">
      <w:pPr>
        <w:ind w:left="709" w:hanging="709"/>
        <w:jc w:val="center"/>
        <w:rPr>
          <w:rFonts w:ascii="Times New Roman" w:hAnsi="Times New Roman"/>
          <w:b/>
          <w:bCs/>
          <w:sz w:val="8"/>
          <w:szCs w:val="8"/>
        </w:rPr>
      </w:pPr>
      <w:bookmarkStart w:id="1" w:name="_GoBack"/>
      <w:bookmarkEnd w:id="1"/>
    </w:p>
    <w:p w:rsidR="00D52286" w:rsidRPr="001D18E6" w:rsidRDefault="00D52286" w:rsidP="001D18E6">
      <w:pPr>
        <w:spacing w:before="100" w:beforeAutospacing="1" w:after="100" w:afterAutospacing="1"/>
        <w:ind w:firstLine="568"/>
        <w:jc w:val="center"/>
        <w:rPr>
          <w:rFonts w:ascii="Times New Roman" w:hAnsi="Times New Roman"/>
          <w:sz w:val="32"/>
          <w:szCs w:val="32"/>
        </w:rPr>
      </w:pPr>
      <w:r w:rsidRPr="00D30EEA">
        <w:rPr>
          <w:rFonts w:ascii="Times New Roman" w:hAnsi="Times New Roman"/>
          <w:b/>
          <w:bCs/>
          <w:sz w:val="32"/>
          <w:szCs w:val="32"/>
        </w:rPr>
        <w:t>ΔΕΛΤΙΟ ΤΥΠΟΥ</w:t>
      </w:r>
      <w:r>
        <w:rPr>
          <w:b/>
          <w:bCs/>
          <w:sz w:val="28"/>
          <w:szCs w:val="28"/>
        </w:rPr>
        <w:t> </w:t>
      </w:r>
    </w:p>
    <w:p w:rsidR="007B4ED7" w:rsidRPr="007B4ED7" w:rsidRDefault="00D52286" w:rsidP="007B4ED7">
      <w:pPr>
        <w:spacing w:line="360" w:lineRule="auto"/>
        <w:jc w:val="both"/>
        <w:rPr>
          <w:rFonts w:cs="Calibri"/>
          <w:sz w:val="32"/>
          <w:szCs w:val="32"/>
        </w:rPr>
      </w:pPr>
      <w:r w:rsidRPr="007B4ED7">
        <w:rPr>
          <w:rFonts w:ascii="Times New Roman" w:hAnsi="Times New Roman"/>
          <w:b/>
          <w:bCs/>
          <w:sz w:val="32"/>
          <w:szCs w:val="32"/>
        </w:rPr>
        <w:t>ΘΕΜΑ:</w:t>
      </w:r>
      <w:r w:rsidR="007B4ED7" w:rsidRPr="007B4ED7">
        <w:rPr>
          <w:b/>
          <w:bCs/>
          <w:sz w:val="32"/>
          <w:szCs w:val="32"/>
        </w:rPr>
        <w:t xml:space="preserve"> «Συνεχείς παλινωδίες του Υπουργού Αγροτικής Ανάπτυξης</w:t>
      </w:r>
      <w:r w:rsidR="00E44A30" w:rsidRPr="00E44A30">
        <w:rPr>
          <w:b/>
          <w:bCs/>
          <w:sz w:val="32"/>
          <w:szCs w:val="32"/>
        </w:rPr>
        <w:t xml:space="preserve"> </w:t>
      </w:r>
      <w:r w:rsidR="00E44A30">
        <w:rPr>
          <w:b/>
          <w:bCs/>
          <w:sz w:val="32"/>
          <w:szCs w:val="32"/>
        </w:rPr>
        <w:t xml:space="preserve">και </w:t>
      </w:r>
      <w:r w:rsidR="00C40B41">
        <w:rPr>
          <w:b/>
          <w:bCs/>
          <w:sz w:val="32"/>
          <w:szCs w:val="32"/>
        </w:rPr>
        <w:t>Τροφίμων</w:t>
      </w:r>
      <w:r w:rsidR="007B4ED7" w:rsidRPr="007B4ED7">
        <w:rPr>
          <w:b/>
          <w:bCs/>
          <w:sz w:val="32"/>
          <w:szCs w:val="32"/>
        </w:rPr>
        <w:t>»</w:t>
      </w:r>
    </w:p>
    <w:p w:rsidR="007B4ED7" w:rsidRPr="007B4ED7" w:rsidRDefault="007B4ED7" w:rsidP="007B4ED7">
      <w:pPr>
        <w:spacing w:before="120" w:after="120"/>
        <w:jc w:val="both"/>
        <w:rPr>
          <w:rFonts w:cs="Calibri"/>
          <w:sz w:val="32"/>
          <w:szCs w:val="32"/>
        </w:rPr>
      </w:pPr>
      <w:r w:rsidRPr="007B4ED7">
        <w:rPr>
          <w:sz w:val="32"/>
          <w:szCs w:val="32"/>
        </w:rPr>
        <w:t xml:space="preserve">Διαπιστώνεται </w:t>
      </w:r>
      <w:proofErr w:type="spellStart"/>
      <w:r w:rsidRPr="007B4ED7">
        <w:rPr>
          <w:sz w:val="32"/>
          <w:szCs w:val="32"/>
        </w:rPr>
        <w:t>ό,τι</w:t>
      </w:r>
      <w:proofErr w:type="spellEnd"/>
      <w:r w:rsidRPr="007B4ED7">
        <w:rPr>
          <w:sz w:val="32"/>
          <w:szCs w:val="32"/>
        </w:rPr>
        <w:t xml:space="preserve"> η πολιτική ηγεσία του Υπουργείου Αγροτικής Ανάπτυξης και Τροφίμων, λόγω της εμφανέστατης αδυναμίας της να διαχειριστεί την ευλογιά των αιγοπροβάτων, προσπαθεί για άλλη μια φορά να καλύψει τις δικές της αποτυχίες, με νομοθετήματα, που παραμένουν ουσιαστικά ανεφάρμοστα, απλώς μεταθέτοντας την ευθύνη,</w:t>
      </w:r>
      <w:r w:rsidRPr="007B4ED7">
        <w:rPr>
          <w:rFonts w:cs="Calibri"/>
          <w:sz w:val="32"/>
          <w:szCs w:val="32"/>
        </w:rPr>
        <w:t xml:space="preserve"> </w:t>
      </w:r>
      <w:r w:rsidRPr="007B4ED7">
        <w:rPr>
          <w:sz w:val="32"/>
          <w:szCs w:val="32"/>
        </w:rPr>
        <w:t>κατά την προσφιλή της μεθοδολογία, στις Κτηνιατρικές υπηρεσίες των Περιφερειών.</w:t>
      </w:r>
    </w:p>
    <w:p w:rsidR="007B4ED7" w:rsidRPr="007B4ED7" w:rsidRDefault="007B4ED7" w:rsidP="007B4ED7">
      <w:pPr>
        <w:spacing w:before="120" w:after="120"/>
        <w:jc w:val="both"/>
        <w:rPr>
          <w:rFonts w:cs="Calibri"/>
          <w:sz w:val="32"/>
          <w:szCs w:val="32"/>
        </w:rPr>
      </w:pPr>
      <w:r w:rsidRPr="007B4ED7">
        <w:rPr>
          <w:sz w:val="32"/>
          <w:szCs w:val="32"/>
        </w:rPr>
        <w:t xml:space="preserve">Έτσι δημοσίευσε την Απόφαση </w:t>
      </w:r>
      <w:proofErr w:type="spellStart"/>
      <w:r w:rsidRPr="007B4ED7">
        <w:rPr>
          <w:sz w:val="32"/>
          <w:szCs w:val="32"/>
        </w:rPr>
        <w:t>Αριθμ</w:t>
      </w:r>
      <w:proofErr w:type="spellEnd"/>
      <w:r w:rsidRPr="007B4ED7">
        <w:rPr>
          <w:sz w:val="32"/>
          <w:szCs w:val="32"/>
        </w:rPr>
        <w:t>. 337680/03-12-2025 με τον παραπλανητικό τίτλο  «</w:t>
      </w:r>
      <w:r w:rsidRPr="007B4ED7">
        <w:rPr>
          <w:i/>
          <w:iCs/>
          <w:sz w:val="32"/>
          <w:szCs w:val="32"/>
        </w:rPr>
        <w:t xml:space="preserve">Αποζημίωση παραγωγών που διατηρούν εκμεταλλεύσεις αιγοπροβάτων για την απώλεια εισοδήματος που υφίστανται λόγω της έξαρσης της επιζωοτίας της ευλογιάς των αιγοπροβάτων και </w:t>
      </w:r>
      <w:bookmarkStart w:id="2" w:name="_Hlk215777812"/>
      <w:r w:rsidRPr="007B4ED7">
        <w:rPr>
          <w:i/>
          <w:iCs/>
          <w:sz w:val="32"/>
          <w:szCs w:val="32"/>
        </w:rPr>
        <w:t>της πανώλης των μικρών μηρυκαστικών</w:t>
      </w:r>
      <w:bookmarkEnd w:id="2"/>
      <w:r w:rsidRPr="007B4ED7">
        <w:rPr>
          <w:i/>
          <w:iCs/>
          <w:sz w:val="32"/>
          <w:szCs w:val="32"/>
        </w:rPr>
        <w:t xml:space="preserve">.» </w:t>
      </w:r>
      <w:r w:rsidRPr="007B4ED7">
        <w:rPr>
          <w:sz w:val="32"/>
          <w:szCs w:val="32"/>
        </w:rPr>
        <w:t>σύμφωνα με την οποία, για</w:t>
      </w:r>
      <w:r w:rsidR="00056152" w:rsidRPr="00056152">
        <w:rPr>
          <w:sz w:val="32"/>
          <w:szCs w:val="32"/>
        </w:rPr>
        <w:t xml:space="preserve"> </w:t>
      </w:r>
      <w:r w:rsidR="00056152">
        <w:rPr>
          <w:sz w:val="32"/>
          <w:szCs w:val="32"/>
        </w:rPr>
        <w:t>να</w:t>
      </w:r>
      <w:r w:rsidRPr="007B4ED7">
        <w:rPr>
          <w:sz w:val="32"/>
          <w:szCs w:val="32"/>
        </w:rPr>
        <w:t xml:space="preserve"> αποζημιωθούν οι κτηνοτρόφοι για τα ζώα τους που  θανατώθηκαν λόγω θετικών κρουσμάτων πανώλης και ευλογιάς, θα πρέπει, </w:t>
      </w:r>
      <w:r w:rsidRPr="007B4ED7">
        <w:rPr>
          <w:b/>
          <w:bCs/>
          <w:sz w:val="32"/>
          <w:szCs w:val="32"/>
          <w:u w:val="single"/>
        </w:rPr>
        <w:t>σε 5 ημέρες από τη δημοσίευση της απόφασης, οι Κτηνιατ</w:t>
      </w:r>
      <w:r w:rsidR="00056152">
        <w:rPr>
          <w:b/>
          <w:bCs/>
          <w:sz w:val="32"/>
          <w:szCs w:val="32"/>
          <w:u w:val="single"/>
        </w:rPr>
        <w:t>ρικές υπηρεσίες των Περιφερειών</w:t>
      </w:r>
      <w:r w:rsidRPr="007B4ED7">
        <w:rPr>
          <w:b/>
          <w:bCs/>
          <w:sz w:val="32"/>
          <w:szCs w:val="32"/>
          <w:u w:val="single"/>
        </w:rPr>
        <w:t>,</w:t>
      </w:r>
      <w:r w:rsidR="00056152" w:rsidRPr="00056152">
        <w:rPr>
          <w:b/>
          <w:bCs/>
          <w:sz w:val="32"/>
          <w:szCs w:val="32"/>
          <w:u w:val="single"/>
        </w:rPr>
        <w:t xml:space="preserve"> </w:t>
      </w:r>
      <w:r w:rsidRPr="007B4ED7">
        <w:rPr>
          <w:sz w:val="32"/>
          <w:szCs w:val="32"/>
        </w:rPr>
        <w:t>πέρα των άλλων προσκομιζόμενων</w:t>
      </w:r>
      <w:r w:rsidR="00056152">
        <w:rPr>
          <w:sz w:val="32"/>
          <w:szCs w:val="32"/>
        </w:rPr>
        <w:t xml:space="preserve"> στοιχείων για τα έτη 2024,2025</w:t>
      </w:r>
      <w:r w:rsidRPr="007B4ED7">
        <w:rPr>
          <w:sz w:val="32"/>
          <w:szCs w:val="32"/>
        </w:rPr>
        <w:t>,</w:t>
      </w:r>
      <w:r w:rsidRPr="00056152">
        <w:rPr>
          <w:sz w:val="32"/>
          <w:szCs w:val="32"/>
        </w:rPr>
        <w:t xml:space="preserve"> </w:t>
      </w:r>
      <w:r w:rsidRPr="007B4ED7">
        <w:rPr>
          <w:b/>
          <w:bCs/>
          <w:i/>
          <w:iCs/>
          <w:sz w:val="32"/>
          <w:szCs w:val="32"/>
          <w:u w:val="single"/>
        </w:rPr>
        <w:t xml:space="preserve">να βεβαιώσουν ότι  δεν συντρέχει περίπτωση παράνομου εμβολιασμού των ζώων ή μη τήρησης των προβλεπόμενων μέτρων </w:t>
      </w:r>
      <w:proofErr w:type="spellStart"/>
      <w:r w:rsidRPr="007B4ED7">
        <w:rPr>
          <w:b/>
          <w:bCs/>
          <w:i/>
          <w:iCs/>
          <w:sz w:val="32"/>
          <w:szCs w:val="32"/>
          <w:u w:val="single"/>
        </w:rPr>
        <w:t>βιοασφάλειας</w:t>
      </w:r>
      <w:proofErr w:type="spellEnd"/>
      <w:r w:rsidRPr="007B4ED7">
        <w:rPr>
          <w:i/>
          <w:iCs/>
          <w:sz w:val="32"/>
          <w:szCs w:val="32"/>
          <w:u w:val="single"/>
        </w:rPr>
        <w:t xml:space="preserve">. </w:t>
      </w:r>
    </w:p>
    <w:p w:rsidR="007B4ED7" w:rsidRPr="007B4ED7" w:rsidRDefault="007B4ED7" w:rsidP="007B4ED7">
      <w:pPr>
        <w:spacing w:before="120" w:after="120"/>
        <w:jc w:val="both"/>
        <w:rPr>
          <w:rFonts w:cs="Calibri"/>
          <w:sz w:val="32"/>
          <w:szCs w:val="32"/>
        </w:rPr>
      </w:pPr>
      <w:r w:rsidRPr="007B4ED7">
        <w:rPr>
          <w:sz w:val="32"/>
          <w:szCs w:val="32"/>
        </w:rPr>
        <w:t>Ο στόχος όλων αυτών των παλινωδιών :</w:t>
      </w:r>
      <w:r w:rsidR="00056152">
        <w:rPr>
          <w:sz w:val="32"/>
          <w:szCs w:val="32"/>
        </w:rPr>
        <w:t xml:space="preserve"> </w:t>
      </w:r>
      <w:r w:rsidRPr="007B4ED7">
        <w:rPr>
          <w:sz w:val="32"/>
          <w:szCs w:val="32"/>
        </w:rPr>
        <w:t xml:space="preserve">Να μεταθέσει την ευθύνη στις Κτηνιατρικές υπηρεσίες της Περιφέρειας και να χειριστεί επικοινωνιακά τα αιτήματα των κτηνοτρόφων κατά τις </w:t>
      </w:r>
      <w:r w:rsidR="00056152" w:rsidRPr="007B4ED7">
        <w:rPr>
          <w:sz w:val="32"/>
          <w:szCs w:val="32"/>
        </w:rPr>
        <w:t>κινητοποιήσεις</w:t>
      </w:r>
      <w:r w:rsidRPr="007B4ED7">
        <w:rPr>
          <w:sz w:val="32"/>
          <w:szCs w:val="32"/>
        </w:rPr>
        <w:t xml:space="preserve"> τους, τάζοντας τους αποζημιώσεις που δεν θα δοθούν. Αν ήθελε το </w:t>
      </w:r>
      <w:proofErr w:type="spellStart"/>
      <w:r w:rsidRPr="007B4ED7">
        <w:rPr>
          <w:sz w:val="32"/>
          <w:szCs w:val="32"/>
        </w:rPr>
        <w:t>ΥπΑΑΤ</w:t>
      </w:r>
      <w:proofErr w:type="spellEnd"/>
      <w:r w:rsidRPr="007B4ED7">
        <w:rPr>
          <w:sz w:val="32"/>
          <w:szCs w:val="32"/>
        </w:rPr>
        <w:t xml:space="preserve"> να αποζημιώσει τους κτηνοτρόφους που έχουν θανατωθεί τα ζώα τους λόγω των </w:t>
      </w:r>
      <w:proofErr w:type="spellStart"/>
      <w:r w:rsidRPr="007B4ED7">
        <w:rPr>
          <w:sz w:val="32"/>
          <w:szCs w:val="32"/>
        </w:rPr>
        <w:t>επιζωοτιών</w:t>
      </w:r>
      <w:proofErr w:type="spellEnd"/>
      <w:r w:rsidRPr="007B4ED7">
        <w:rPr>
          <w:sz w:val="32"/>
          <w:szCs w:val="32"/>
        </w:rPr>
        <w:t xml:space="preserve"> , θα ζητούσε από την Γενική </w:t>
      </w:r>
      <w:proofErr w:type="spellStart"/>
      <w:r w:rsidRPr="007B4ED7">
        <w:rPr>
          <w:sz w:val="32"/>
          <w:szCs w:val="32"/>
        </w:rPr>
        <w:t>Δνση</w:t>
      </w:r>
      <w:proofErr w:type="spellEnd"/>
      <w:r w:rsidRPr="007B4ED7">
        <w:rPr>
          <w:sz w:val="32"/>
          <w:szCs w:val="32"/>
        </w:rPr>
        <w:t xml:space="preserve"> Κτηνιατρικής τις καταστάσεις των κτηνοτρόφων </w:t>
      </w:r>
      <w:r w:rsidRPr="007B4ED7">
        <w:rPr>
          <w:sz w:val="32"/>
          <w:szCs w:val="32"/>
        </w:rPr>
        <w:lastRenderedPageBreak/>
        <w:t xml:space="preserve">που έχουν αποσταλεί ήδη από τις Περιφέρειες, χωρίς τις παλινωδίες των βεβαιώσεων παράνομου εμβολιασμού και μη νομοθετημένων μέτρων </w:t>
      </w:r>
      <w:proofErr w:type="spellStart"/>
      <w:r w:rsidRPr="007B4ED7">
        <w:rPr>
          <w:sz w:val="32"/>
          <w:szCs w:val="32"/>
        </w:rPr>
        <w:t>βιοασφάλειας</w:t>
      </w:r>
      <w:proofErr w:type="spellEnd"/>
      <w:r w:rsidRPr="007B4ED7">
        <w:rPr>
          <w:sz w:val="32"/>
          <w:szCs w:val="32"/>
        </w:rPr>
        <w:t xml:space="preserve">. </w:t>
      </w:r>
    </w:p>
    <w:p w:rsidR="007B4ED7" w:rsidRPr="007B4ED7" w:rsidRDefault="007B4ED7" w:rsidP="007B4ED7">
      <w:pPr>
        <w:spacing w:before="120" w:after="120"/>
        <w:jc w:val="both"/>
        <w:rPr>
          <w:rFonts w:cs="Calibri"/>
          <w:sz w:val="32"/>
          <w:szCs w:val="32"/>
        </w:rPr>
      </w:pPr>
      <w:r w:rsidRPr="007B4ED7">
        <w:rPr>
          <w:sz w:val="32"/>
          <w:szCs w:val="32"/>
        </w:rPr>
        <w:t xml:space="preserve">Οι συνεχείς παλινωδίες και οι </w:t>
      </w:r>
      <w:proofErr w:type="spellStart"/>
      <w:r w:rsidRPr="007B4ED7">
        <w:rPr>
          <w:sz w:val="32"/>
          <w:szCs w:val="32"/>
        </w:rPr>
        <w:t>αυτοαντιφάσεις</w:t>
      </w:r>
      <w:proofErr w:type="spellEnd"/>
      <w:r w:rsidRPr="007B4ED7">
        <w:rPr>
          <w:sz w:val="32"/>
          <w:szCs w:val="32"/>
        </w:rPr>
        <w:t xml:space="preserve">  του Υπουργού Αγροτικής Ανάπτυξης</w:t>
      </w:r>
      <w:r w:rsidR="00DC357F">
        <w:rPr>
          <w:sz w:val="32"/>
          <w:szCs w:val="32"/>
        </w:rPr>
        <w:t xml:space="preserve"> και Τροφίμων</w:t>
      </w:r>
      <w:r w:rsidRPr="007B4ED7">
        <w:rPr>
          <w:sz w:val="32"/>
          <w:szCs w:val="32"/>
        </w:rPr>
        <w:t xml:space="preserve">, με αποκορύφωμα τη νέα απόφαση που ακυρώνει τις ίδιες του τις δηλώσεις : </w:t>
      </w:r>
    </w:p>
    <w:p w:rsidR="007B4ED7" w:rsidRPr="007B4ED7" w:rsidRDefault="007B4ED7" w:rsidP="007B4ED7">
      <w:pPr>
        <w:numPr>
          <w:ilvl w:val="0"/>
          <w:numId w:val="22"/>
        </w:numPr>
        <w:spacing w:before="120" w:after="120" w:line="240" w:lineRule="auto"/>
        <w:jc w:val="both"/>
        <w:rPr>
          <w:rFonts w:eastAsia="Times New Roman" w:cs="Calibri"/>
          <w:sz w:val="32"/>
          <w:szCs w:val="32"/>
        </w:rPr>
      </w:pPr>
      <w:r w:rsidRPr="007B4ED7">
        <w:rPr>
          <w:rFonts w:eastAsia="Times New Roman"/>
          <w:sz w:val="32"/>
          <w:szCs w:val="32"/>
        </w:rPr>
        <w:t xml:space="preserve">ότι ήδη έχουν αποζημιωθεί οι κτηνοτρόφοι για τις </w:t>
      </w:r>
      <w:proofErr w:type="spellStart"/>
      <w:r w:rsidRPr="007B4ED7">
        <w:rPr>
          <w:rFonts w:eastAsia="Times New Roman"/>
          <w:sz w:val="32"/>
          <w:szCs w:val="32"/>
        </w:rPr>
        <w:t>επιζωοτίες</w:t>
      </w:r>
      <w:proofErr w:type="spellEnd"/>
      <w:r w:rsidRPr="007B4ED7">
        <w:rPr>
          <w:rFonts w:eastAsia="Times New Roman"/>
          <w:sz w:val="32"/>
          <w:szCs w:val="32"/>
        </w:rPr>
        <w:t xml:space="preserve"> της πανώλης των μικρών μηρυκαστικών και τις ευλογιάς των αιγοπροβάτων</w:t>
      </w:r>
    </w:p>
    <w:p w:rsidR="007B4ED7" w:rsidRPr="007B4ED7" w:rsidRDefault="007B4ED7" w:rsidP="007B4ED7">
      <w:pPr>
        <w:numPr>
          <w:ilvl w:val="0"/>
          <w:numId w:val="22"/>
        </w:numPr>
        <w:spacing w:before="120" w:after="120" w:line="240" w:lineRule="auto"/>
        <w:jc w:val="both"/>
        <w:rPr>
          <w:rFonts w:eastAsia="Times New Roman" w:cs="Calibri"/>
          <w:sz w:val="32"/>
          <w:szCs w:val="32"/>
        </w:rPr>
      </w:pPr>
      <w:r w:rsidRPr="007B4ED7">
        <w:rPr>
          <w:rFonts w:eastAsia="Times New Roman"/>
          <w:sz w:val="32"/>
          <w:szCs w:val="32"/>
        </w:rPr>
        <w:t xml:space="preserve">ότι δεν υπάρχει μεθοδολογία για τον διαχωρισμό του </w:t>
      </w:r>
      <w:proofErr w:type="spellStart"/>
      <w:r w:rsidRPr="007B4ED7">
        <w:rPr>
          <w:rFonts w:eastAsia="Times New Roman"/>
          <w:sz w:val="32"/>
          <w:szCs w:val="32"/>
        </w:rPr>
        <w:t>εμβολιακού</w:t>
      </w:r>
      <w:proofErr w:type="spellEnd"/>
      <w:r w:rsidRPr="007B4ED7">
        <w:rPr>
          <w:rFonts w:eastAsia="Times New Roman"/>
          <w:sz w:val="32"/>
          <w:szCs w:val="32"/>
        </w:rPr>
        <w:t xml:space="preserve"> στελέχους από τον φυσικό </w:t>
      </w:r>
      <w:r w:rsidR="00056152" w:rsidRPr="007B4ED7">
        <w:rPr>
          <w:rFonts w:eastAsia="Times New Roman"/>
          <w:sz w:val="32"/>
          <w:szCs w:val="32"/>
        </w:rPr>
        <w:t>ιό</w:t>
      </w:r>
      <w:r w:rsidRPr="007B4ED7">
        <w:rPr>
          <w:rFonts w:eastAsia="Times New Roman"/>
          <w:sz w:val="32"/>
          <w:szCs w:val="32"/>
        </w:rPr>
        <w:t xml:space="preserve"> της ευλογιά</w:t>
      </w:r>
      <w:r w:rsidR="00056152">
        <w:rPr>
          <w:rFonts w:eastAsia="Times New Roman"/>
          <w:sz w:val="32"/>
          <w:szCs w:val="32"/>
        </w:rPr>
        <w:t>ς</w:t>
      </w:r>
      <w:r w:rsidRPr="007B4ED7">
        <w:rPr>
          <w:rFonts w:eastAsia="Times New Roman"/>
          <w:sz w:val="32"/>
          <w:szCs w:val="32"/>
        </w:rPr>
        <w:t xml:space="preserve"> των αιγοπροβάτων , το οποίο χρησιμοποιούσε ως επιχείρημα για τη μη εφαρμογή του εμβολιασμού</w:t>
      </w:r>
    </w:p>
    <w:p w:rsidR="007B4ED7" w:rsidRPr="007B4ED7" w:rsidRDefault="007B4ED7" w:rsidP="007B4ED7">
      <w:pPr>
        <w:spacing w:before="120" w:after="120"/>
        <w:jc w:val="both"/>
        <w:rPr>
          <w:rFonts w:eastAsiaTheme="minorHAnsi" w:cs="Calibri"/>
          <w:sz w:val="32"/>
          <w:szCs w:val="32"/>
        </w:rPr>
      </w:pPr>
      <w:r w:rsidRPr="007B4ED7">
        <w:rPr>
          <w:sz w:val="32"/>
          <w:szCs w:val="32"/>
        </w:rPr>
        <w:t> αποτελούν κατάφωρη ένδειξη διοικητικής προχειρότητας και πλήρους απώλειας ελέγχου. Οι κτηνοτρόφοι έχουν αφεθεί στο έλεος μιας πολιτικής ηγεσίας χωρίς συγκεκριμένη στρατηγική αντιμετώπισης της επιζωοτίας, χωρίς στόχους και με τη θανάτωση πάνω από 500.000 αιγοπροβάτων, με υποστελεχωμένες Κτηνιατρικές υπηρεσίες, με ανεφάρμοστα νομοθετήματα, με κατευθυνόμενες επιτροπές, χωρίς σχέδιο, χωρίς συνέπεια και χωρίς λογοδοσία.</w:t>
      </w:r>
    </w:p>
    <w:p w:rsidR="007B4ED7" w:rsidRPr="007B4ED7" w:rsidRDefault="007B4ED7" w:rsidP="007B4ED7">
      <w:pPr>
        <w:spacing w:before="120" w:after="120"/>
        <w:jc w:val="both"/>
        <w:rPr>
          <w:rFonts w:cs="Calibri"/>
          <w:sz w:val="32"/>
          <w:szCs w:val="32"/>
        </w:rPr>
      </w:pPr>
      <w:r w:rsidRPr="007B4ED7">
        <w:rPr>
          <w:sz w:val="32"/>
          <w:szCs w:val="32"/>
        </w:rPr>
        <w:t xml:space="preserve">Η κατάσταση στο </w:t>
      </w:r>
      <w:proofErr w:type="spellStart"/>
      <w:r w:rsidRPr="007B4ED7">
        <w:rPr>
          <w:sz w:val="32"/>
          <w:szCs w:val="32"/>
        </w:rPr>
        <w:t>ΥπΑΑΤ</w:t>
      </w:r>
      <w:proofErr w:type="spellEnd"/>
      <w:r w:rsidRPr="007B4ED7">
        <w:rPr>
          <w:sz w:val="32"/>
          <w:szCs w:val="32"/>
        </w:rPr>
        <w:t xml:space="preserve"> έχει ξεπεράσει κάθε όριο. Η ασυνέπεια και η αδυναμία του υπουργού να σταθεί στο ύψος των περιστάσεων έχουν πλήξει ανεπανόρθωτα την αξιοπιστία του υπουργείου και έχουν προκαλέσει χάος στον αγροτικό τομέα.</w:t>
      </w:r>
    </w:p>
    <w:p w:rsidR="007B4ED7" w:rsidRPr="007B4ED7" w:rsidRDefault="007B4ED7" w:rsidP="007B4ED7">
      <w:pPr>
        <w:spacing w:before="120" w:after="120"/>
        <w:jc w:val="both"/>
        <w:rPr>
          <w:rFonts w:cs="Calibri"/>
          <w:sz w:val="32"/>
          <w:szCs w:val="32"/>
        </w:rPr>
      </w:pPr>
      <w:r w:rsidRPr="007B4ED7">
        <w:rPr>
          <w:sz w:val="32"/>
          <w:szCs w:val="32"/>
        </w:rPr>
        <w:t>Με δεδομένη την έκταση της ζημιάς, η παραμονή του υπουργού στη θέση του δεν αποτελεί πλέον απλώς προβληματική επιλογή — είναι επικίνδυνη για τον πρωτογενή τομέα.</w:t>
      </w:r>
    </w:p>
    <w:p w:rsidR="007B4ED7" w:rsidRPr="007B4ED7" w:rsidRDefault="007B4ED7" w:rsidP="007B4ED7">
      <w:pPr>
        <w:spacing w:before="120" w:after="120"/>
        <w:jc w:val="both"/>
        <w:rPr>
          <w:rFonts w:cs="Calibri"/>
          <w:sz w:val="32"/>
          <w:szCs w:val="32"/>
        </w:rPr>
      </w:pPr>
      <w:r w:rsidRPr="007B4ED7">
        <w:rPr>
          <w:sz w:val="32"/>
          <w:szCs w:val="32"/>
        </w:rPr>
        <w:t xml:space="preserve">Για στοιχειώδη πολιτική ευθιξία ο Υπουργός Αγροτικής Ανάπτυξης θα πρέπει </w:t>
      </w:r>
      <w:r w:rsidR="00056152">
        <w:rPr>
          <w:sz w:val="32"/>
          <w:szCs w:val="32"/>
        </w:rPr>
        <w:t xml:space="preserve">να </w:t>
      </w:r>
      <w:r w:rsidRPr="007B4ED7">
        <w:rPr>
          <w:sz w:val="32"/>
          <w:szCs w:val="32"/>
        </w:rPr>
        <w:t>παραιτηθεί άμεσα, ώστε να μπει τέλος στην αποδιοργάνωση και να επανέλθει μια στοιχειώδης σοβαρότητα στη χάραξη αγροτικής πολιτικής.</w:t>
      </w:r>
    </w:p>
    <w:p w:rsidR="001D18E6" w:rsidRPr="004227E0" w:rsidRDefault="001D18E6" w:rsidP="001D18E6">
      <w:pPr>
        <w:shd w:val="clear" w:color="auto" w:fill="FFFFFF"/>
        <w:spacing w:after="160" w:line="164" w:lineRule="atLeast"/>
        <w:ind w:firstLine="720"/>
        <w:jc w:val="right"/>
        <w:rPr>
          <w:rFonts w:eastAsia="Times New Roman" w:cs="Calibri"/>
          <w:color w:val="222222"/>
          <w:sz w:val="28"/>
          <w:szCs w:val="28"/>
          <w:lang w:eastAsia="el-GR"/>
        </w:rPr>
      </w:pPr>
      <w:r>
        <w:rPr>
          <w:rFonts w:cs="Calibri"/>
          <w:noProof/>
          <w:sz w:val="32"/>
          <w:szCs w:val="32"/>
          <w:lang w:eastAsia="el-GR"/>
        </w:rPr>
        <w:drawing>
          <wp:anchor distT="0" distB="0" distL="114300" distR="114300" simplePos="0" relativeHeight="251658240" behindDoc="0" locked="0" layoutInCell="1" allowOverlap="1">
            <wp:simplePos x="0" y="0"/>
            <wp:positionH relativeFrom="margin">
              <wp:posOffset>5243195</wp:posOffset>
            </wp:positionH>
            <wp:positionV relativeFrom="margin">
              <wp:posOffset>8705850</wp:posOffset>
            </wp:positionV>
            <wp:extent cx="1570990" cy="1407160"/>
            <wp:effectExtent l="19050" t="0" r="0" b="0"/>
            <wp:wrapSquare wrapText="bothSides"/>
            <wp:doc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0990" cy="1407160"/>
                    </a:xfrm>
                    <a:prstGeom prst="rect">
                      <a:avLst/>
                    </a:prstGeom>
                    <a:noFill/>
                    <a:ln>
                      <a:noFill/>
                    </a:ln>
                  </pic:spPr>
                </pic:pic>
              </a:graphicData>
            </a:graphic>
          </wp:anchor>
        </w:drawing>
      </w:r>
      <w:r>
        <w:rPr>
          <w:rFonts w:cs="Calibri"/>
          <w:sz w:val="32"/>
          <w:szCs w:val="32"/>
        </w:rPr>
        <w:tab/>
      </w:r>
      <w:r w:rsidRPr="003109EC">
        <w:rPr>
          <w:rFonts w:ascii="Times New Roman" w:hAnsi="Times New Roman"/>
          <w:b/>
          <w:bCs/>
          <w:sz w:val="28"/>
          <w:szCs w:val="28"/>
        </w:rPr>
        <w:t>Για  το  Δ.Σ.</w:t>
      </w:r>
      <w:r w:rsidRPr="004227E0">
        <w:rPr>
          <w:noProof/>
          <w:szCs w:val="28"/>
          <w:lang w:eastAsia="el-GR"/>
        </w:rPr>
        <w:t xml:space="preserve"> </w:t>
      </w:r>
    </w:p>
    <w:p w:rsidR="007B4ED7" w:rsidRPr="007B4ED7" w:rsidRDefault="007B4ED7" w:rsidP="001D18E6">
      <w:pPr>
        <w:tabs>
          <w:tab w:val="left" w:pos="6849"/>
        </w:tabs>
        <w:spacing w:after="160" w:line="252" w:lineRule="auto"/>
        <w:rPr>
          <w:rFonts w:cs="Calibri"/>
          <w:sz w:val="32"/>
          <w:szCs w:val="32"/>
        </w:rPr>
      </w:pPr>
    </w:p>
    <w:p w:rsidR="00736082" w:rsidRPr="007B4ED7" w:rsidRDefault="00736082" w:rsidP="00736082">
      <w:pPr>
        <w:spacing w:after="160" w:line="252" w:lineRule="auto"/>
        <w:rPr>
          <w:rFonts w:cs="Calibri"/>
          <w:sz w:val="32"/>
          <w:szCs w:val="32"/>
        </w:rPr>
      </w:pPr>
      <w:r w:rsidRPr="007B4ED7">
        <w:rPr>
          <w:rFonts w:cs="Calibri"/>
          <w:sz w:val="32"/>
          <w:szCs w:val="32"/>
        </w:rPr>
        <w:t>.</w:t>
      </w:r>
    </w:p>
    <w:p w:rsidR="007D05CB" w:rsidRPr="00881E9F" w:rsidRDefault="007D05CB" w:rsidP="00881E9F">
      <w:pPr>
        <w:spacing w:after="160" w:line="252" w:lineRule="auto"/>
        <w:rPr>
          <w:rFonts w:cs="Calibri"/>
          <w:sz w:val="32"/>
          <w:szCs w:val="32"/>
        </w:rPr>
      </w:pPr>
    </w:p>
    <w:p w:rsidR="00D30EEA" w:rsidRPr="0060132D" w:rsidRDefault="00D30EEA" w:rsidP="00D30EEA">
      <w:pPr>
        <w:spacing w:after="160" w:line="252" w:lineRule="auto"/>
        <w:jc w:val="both"/>
        <w:rPr>
          <w:rFonts w:ascii="Times New Roman" w:hAnsi="Times New Roman"/>
          <w:sz w:val="32"/>
          <w:szCs w:val="32"/>
        </w:rPr>
      </w:pPr>
    </w:p>
    <w:p w:rsidR="00842E46" w:rsidRPr="004227E0" w:rsidRDefault="009A7EC7" w:rsidP="004227E0">
      <w:pPr>
        <w:shd w:val="clear" w:color="auto" w:fill="FFFFFF"/>
        <w:spacing w:after="160" w:line="164" w:lineRule="atLeast"/>
        <w:ind w:firstLine="720"/>
        <w:jc w:val="both"/>
        <w:rPr>
          <w:rFonts w:eastAsia="Times New Roman" w:cs="Calibri"/>
          <w:color w:val="222222"/>
          <w:sz w:val="28"/>
          <w:szCs w:val="28"/>
          <w:lang w:eastAsia="el-GR"/>
        </w:rPr>
      </w:pPr>
      <w:r w:rsidRPr="00D30EEA">
        <w:rPr>
          <w:rFonts w:ascii="Times New Roman" w:eastAsia="Times New Roman" w:hAnsi="Times New Roman"/>
          <w:color w:val="222222"/>
          <w:sz w:val="32"/>
          <w:szCs w:val="32"/>
          <w:lang w:eastAsia="el-GR"/>
        </w:rPr>
        <w:t xml:space="preserve">                                </w:t>
      </w:r>
      <w:r w:rsidR="00E66BCB">
        <w:rPr>
          <w:rFonts w:ascii="Times New Roman" w:eastAsia="Times New Roman" w:hAnsi="Times New Roman"/>
          <w:color w:val="222222"/>
          <w:sz w:val="32"/>
          <w:szCs w:val="32"/>
          <w:lang w:eastAsia="el-GR"/>
        </w:rPr>
        <w:t xml:space="preserve">                              </w:t>
      </w:r>
      <w:r w:rsidRPr="00D30EEA">
        <w:rPr>
          <w:rFonts w:ascii="Times New Roman" w:eastAsia="Times New Roman" w:hAnsi="Times New Roman"/>
          <w:color w:val="222222"/>
          <w:sz w:val="32"/>
          <w:szCs w:val="32"/>
          <w:lang w:eastAsia="el-GR"/>
        </w:rPr>
        <w:t xml:space="preserve">         </w:t>
      </w:r>
    </w:p>
    <w:sectPr w:rsidR="00842E46" w:rsidRPr="004227E0" w:rsidSect="009A7EC7">
      <w:pgSz w:w="11906" w:h="16838"/>
      <w:pgMar w:top="426" w:right="849"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49F6C9C"/>
    <w:multiLevelType w:val="multilevel"/>
    <w:tmpl w:val="3D4AB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23F0241"/>
    <w:multiLevelType w:val="multilevel"/>
    <w:tmpl w:val="4E7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8">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4">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5">
    <w:nsid w:val="4C7F76B9"/>
    <w:multiLevelType w:val="multilevel"/>
    <w:tmpl w:val="2F2044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8">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9">
    <w:nsid w:val="6B380DEC"/>
    <w:multiLevelType w:val="multilevel"/>
    <w:tmpl w:val="19065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1">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20"/>
  </w:num>
  <w:num w:numId="3">
    <w:abstractNumId w:val="13"/>
  </w:num>
  <w:num w:numId="4">
    <w:abstractNumId w:val="14"/>
  </w:num>
  <w:num w:numId="5">
    <w:abstractNumId w:val="18"/>
  </w:num>
  <w:num w:numId="6">
    <w:abstractNumId w:val="17"/>
  </w:num>
  <w:num w:numId="7">
    <w:abstractNumId w:val="7"/>
  </w:num>
  <w:num w:numId="8">
    <w:abstractNumId w:val="16"/>
  </w:num>
  <w:num w:numId="9">
    <w:abstractNumId w:val="4"/>
  </w:num>
  <w:num w:numId="10">
    <w:abstractNumId w:val="21"/>
  </w:num>
  <w:num w:numId="11">
    <w:abstractNumId w:val="3"/>
  </w:num>
  <w:num w:numId="12">
    <w:abstractNumId w:val="1"/>
  </w:num>
  <w:num w:numId="13">
    <w:abstractNumId w:val="10"/>
  </w:num>
  <w:num w:numId="14">
    <w:abstractNumId w:val="12"/>
  </w:num>
  <w:num w:numId="15">
    <w:abstractNumId w:val="6"/>
  </w:num>
  <w:num w:numId="16">
    <w:abstractNumId w:val="11"/>
  </w:num>
  <w:num w:numId="17">
    <w:abstractNumId w:val="9"/>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2146C0"/>
    <w:rsid w:val="00003265"/>
    <w:rsid w:val="000033AB"/>
    <w:rsid w:val="00005E3E"/>
    <w:rsid w:val="000078D6"/>
    <w:rsid w:val="00021220"/>
    <w:rsid w:val="0002270C"/>
    <w:rsid w:val="00037894"/>
    <w:rsid w:val="00044EBC"/>
    <w:rsid w:val="00056152"/>
    <w:rsid w:val="000627A3"/>
    <w:rsid w:val="00072B5B"/>
    <w:rsid w:val="00084B19"/>
    <w:rsid w:val="00087CB3"/>
    <w:rsid w:val="00093D4D"/>
    <w:rsid w:val="00095B7C"/>
    <w:rsid w:val="000B170D"/>
    <w:rsid w:val="000B6288"/>
    <w:rsid w:val="000C7053"/>
    <w:rsid w:val="000D6359"/>
    <w:rsid w:val="000D706D"/>
    <w:rsid w:val="000E4796"/>
    <w:rsid w:val="000F0A9C"/>
    <w:rsid w:val="000F39E0"/>
    <w:rsid w:val="00107239"/>
    <w:rsid w:val="0011039E"/>
    <w:rsid w:val="00113AA9"/>
    <w:rsid w:val="00144D11"/>
    <w:rsid w:val="00150AA2"/>
    <w:rsid w:val="00167B46"/>
    <w:rsid w:val="00177731"/>
    <w:rsid w:val="001801F9"/>
    <w:rsid w:val="00183624"/>
    <w:rsid w:val="00186A34"/>
    <w:rsid w:val="00193D93"/>
    <w:rsid w:val="001C3965"/>
    <w:rsid w:val="001C58C6"/>
    <w:rsid w:val="001D18E6"/>
    <w:rsid w:val="001D4992"/>
    <w:rsid w:val="001D70FB"/>
    <w:rsid w:val="001E2B23"/>
    <w:rsid w:val="001F626C"/>
    <w:rsid w:val="002100BE"/>
    <w:rsid w:val="002146C0"/>
    <w:rsid w:val="0023184D"/>
    <w:rsid w:val="00243B9D"/>
    <w:rsid w:val="0027531B"/>
    <w:rsid w:val="002778C0"/>
    <w:rsid w:val="002B0CEE"/>
    <w:rsid w:val="002D315C"/>
    <w:rsid w:val="002E02E9"/>
    <w:rsid w:val="002E2101"/>
    <w:rsid w:val="002E6550"/>
    <w:rsid w:val="002F6A6E"/>
    <w:rsid w:val="003109EC"/>
    <w:rsid w:val="0031532B"/>
    <w:rsid w:val="00316345"/>
    <w:rsid w:val="00320C67"/>
    <w:rsid w:val="00322FF2"/>
    <w:rsid w:val="00324572"/>
    <w:rsid w:val="003314B3"/>
    <w:rsid w:val="00343378"/>
    <w:rsid w:val="00345081"/>
    <w:rsid w:val="00356C93"/>
    <w:rsid w:val="00363F9F"/>
    <w:rsid w:val="00372B2E"/>
    <w:rsid w:val="003752CC"/>
    <w:rsid w:val="003A4624"/>
    <w:rsid w:val="003A62E5"/>
    <w:rsid w:val="003B476C"/>
    <w:rsid w:val="003C2F93"/>
    <w:rsid w:val="003D7E34"/>
    <w:rsid w:val="003F0E0C"/>
    <w:rsid w:val="003F3A97"/>
    <w:rsid w:val="00404FD5"/>
    <w:rsid w:val="00421E14"/>
    <w:rsid w:val="00422276"/>
    <w:rsid w:val="004227E0"/>
    <w:rsid w:val="00445A88"/>
    <w:rsid w:val="004460CE"/>
    <w:rsid w:val="00454FAC"/>
    <w:rsid w:val="00455915"/>
    <w:rsid w:val="00455ED4"/>
    <w:rsid w:val="004665C8"/>
    <w:rsid w:val="00490F12"/>
    <w:rsid w:val="00491DD6"/>
    <w:rsid w:val="004A27D5"/>
    <w:rsid w:val="004B0A48"/>
    <w:rsid w:val="004B2B6C"/>
    <w:rsid w:val="004B4C8A"/>
    <w:rsid w:val="004C60ED"/>
    <w:rsid w:val="004D215B"/>
    <w:rsid w:val="004F3D57"/>
    <w:rsid w:val="005054EA"/>
    <w:rsid w:val="00513CEF"/>
    <w:rsid w:val="00543079"/>
    <w:rsid w:val="00563092"/>
    <w:rsid w:val="0057520D"/>
    <w:rsid w:val="005A44F1"/>
    <w:rsid w:val="005B2F89"/>
    <w:rsid w:val="005D323E"/>
    <w:rsid w:val="005E0A32"/>
    <w:rsid w:val="005E52F3"/>
    <w:rsid w:val="005F1CC2"/>
    <w:rsid w:val="0060132D"/>
    <w:rsid w:val="00601FDB"/>
    <w:rsid w:val="0062468F"/>
    <w:rsid w:val="00630AB0"/>
    <w:rsid w:val="006462F2"/>
    <w:rsid w:val="006464C7"/>
    <w:rsid w:val="006507BF"/>
    <w:rsid w:val="00650AEB"/>
    <w:rsid w:val="006567DE"/>
    <w:rsid w:val="006579AF"/>
    <w:rsid w:val="006638C2"/>
    <w:rsid w:val="00665969"/>
    <w:rsid w:val="00666081"/>
    <w:rsid w:val="0068766C"/>
    <w:rsid w:val="00693DCC"/>
    <w:rsid w:val="00694C36"/>
    <w:rsid w:val="006A1712"/>
    <w:rsid w:val="006A1FFB"/>
    <w:rsid w:val="006B6888"/>
    <w:rsid w:val="006D01AF"/>
    <w:rsid w:val="006E31C1"/>
    <w:rsid w:val="006F1A94"/>
    <w:rsid w:val="006F5222"/>
    <w:rsid w:val="00714FDB"/>
    <w:rsid w:val="00716E70"/>
    <w:rsid w:val="007204C9"/>
    <w:rsid w:val="00733ECD"/>
    <w:rsid w:val="00736082"/>
    <w:rsid w:val="00737453"/>
    <w:rsid w:val="00751DCA"/>
    <w:rsid w:val="007639F1"/>
    <w:rsid w:val="00773BA0"/>
    <w:rsid w:val="0077413F"/>
    <w:rsid w:val="007759AC"/>
    <w:rsid w:val="00776D1B"/>
    <w:rsid w:val="00787609"/>
    <w:rsid w:val="007B126A"/>
    <w:rsid w:val="007B4ED7"/>
    <w:rsid w:val="007B65FE"/>
    <w:rsid w:val="007C56E6"/>
    <w:rsid w:val="007D05CB"/>
    <w:rsid w:val="007E4951"/>
    <w:rsid w:val="00802A67"/>
    <w:rsid w:val="00816329"/>
    <w:rsid w:val="008278C0"/>
    <w:rsid w:val="00835764"/>
    <w:rsid w:val="008371F7"/>
    <w:rsid w:val="00842E46"/>
    <w:rsid w:val="00850CA4"/>
    <w:rsid w:val="0085391A"/>
    <w:rsid w:val="0085510B"/>
    <w:rsid w:val="008577CD"/>
    <w:rsid w:val="00866852"/>
    <w:rsid w:val="00881E9F"/>
    <w:rsid w:val="00883FFE"/>
    <w:rsid w:val="008A650B"/>
    <w:rsid w:val="008B142B"/>
    <w:rsid w:val="008B5FBD"/>
    <w:rsid w:val="008B683E"/>
    <w:rsid w:val="008C415C"/>
    <w:rsid w:val="008D3BDD"/>
    <w:rsid w:val="008F1460"/>
    <w:rsid w:val="008F254E"/>
    <w:rsid w:val="008F2973"/>
    <w:rsid w:val="008F4B7A"/>
    <w:rsid w:val="0091249C"/>
    <w:rsid w:val="009157AA"/>
    <w:rsid w:val="00934A88"/>
    <w:rsid w:val="00937ED3"/>
    <w:rsid w:val="00944B04"/>
    <w:rsid w:val="00947421"/>
    <w:rsid w:val="009475B9"/>
    <w:rsid w:val="00947EF5"/>
    <w:rsid w:val="00956609"/>
    <w:rsid w:val="009647F7"/>
    <w:rsid w:val="00965B16"/>
    <w:rsid w:val="00971C5A"/>
    <w:rsid w:val="00972571"/>
    <w:rsid w:val="00975546"/>
    <w:rsid w:val="009869A5"/>
    <w:rsid w:val="009875DA"/>
    <w:rsid w:val="00987A30"/>
    <w:rsid w:val="009A7EC7"/>
    <w:rsid w:val="009C6A34"/>
    <w:rsid w:val="009F4164"/>
    <w:rsid w:val="00A16046"/>
    <w:rsid w:val="00A371D8"/>
    <w:rsid w:val="00A37EAC"/>
    <w:rsid w:val="00A45302"/>
    <w:rsid w:val="00A65F17"/>
    <w:rsid w:val="00A665FA"/>
    <w:rsid w:val="00A720C1"/>
    <w:rsid w:val="00A73A7C"/>
    <w:rsid w:val="00A863B9"/>
    <w:rsid w:val="00A86B7D"/>
    <w:rsid w:val="00A90934"/>
    <w:rsid w:val="00AA5E08"/>
    <w:rsid w:val="00AB599F"/>
    <w:rsid w:val="00AE163F"/>
    <w:rsid w:val="00B01FB1"/>
    <w:rsid w:val="00B0709A"/>
    <w:rsid w:val="00B109A1"/>
    <w:rsid w:val="00B4263C"/>
    <w:rsid w:val="00B5059B"/>
    <w:rsid w:val="00B557DD"/>
    <w:rsid w:val="00B63E39"/>
    <w:rsid w:val="00B67672"/>
    <w:rsid w:val="00B82BF4"/>
    <w:rsid w:val="00BA536E"/>
    <w:rsid w:val="00BC193A"/>
    <w:rsid w:val="00BC37C2"/>
    <w:rsid w:val="00BD026A"/>
    <w:rsid w:val="00BD3DA1"/>
    <w:rsid w:val="00BE4278"/>
    <w:rsid w:val="00BF3665"/>
    <w:rsid w:val="00C2334E"/>
    <w:rsid w:val="00C270E3"/>
    <w:rsid w:val="00C31280"/>
    <w:rsid w:val="00C31F46"/>
    <w:rsid w:val="00C40B41"/>
    <w:rsid w:val="00C4563E"/>
    <w:rsid w:val="00C470BE"/>
    <w:rsid w:val="00C5614A"/>
    <w:rsid w:val="00C57AAF"/>
    <w:rsid w:val="00C602C6"/>
    <w:rsid w:val="00C67154"/>
    <w:rsid w:val="00C74959"/>
    <w:rsid w:val="00C76A48"/>
    <w:rsid w:val="00C839DF"/>
    <w:rsid w:val="00C85378"/>
    <w:rsid w:val="00C9076F"/>
    <w:rsid w:val="00CB169D"/>
    <w:rsid w:val="00CC1249"/>
    <w:rsid w:val="00CD4153"/>
    <w:rsid w:val="00CE65BE"/>
    <w:rsid w:val="00CF1FF3"/>
    <w:rsid w:val="00CF5F48"/>
    <w:rsid w:val="00D06529"/>
    <w:rsid w:val="00D115EA"/>
    <w:rsid w:val="00D13C4D"/>
    <w:rsid w:val="00D23191"/>
    <w:rsid w:val="00D23346"/>
    <w:rsid w:val="00D30EEA"/>
    <w:rsid w:val="00D3260A"/>
    <w:rsid w:val="00D4596D"/>
    <w:rsid w:val="00D52286"/>
    <w:rsid w:val="00D5463F"/>
    <w:rsid w:val="00D73CF7"/>
    <w:rsid w:val="00D90707"/>
    <w:rsid w:val="00D95012"/>
    <w:rsid w:val="00DC357F"/>
    <w:rsid w:val="00DC41F1"/>
    <w:rsid w:val="00DD39FE"/>
    <w:rsid w:val="00DD5B52"/>
    <w:rsid w:val="00DE2ED7"/>
    <w:rsid w:val="00DE5CBE"/>
    <w:rsid w:val="00E00821"/>
    <w:rsid w:val="00E026ED"/>
    <w:rsid w:val="00E0329D"/>
    <w:rsid w:val="00E26B4E"/>
    <w:rsid w:val="00E41ADB"/>
    <w:rsid w:val="00E42092"/>
    <w:rsid w:val="00E44A30"/>
    <w:rsid w:val="00E44D22"/>
    <w:rsid w:val="00E528F3"/>
    <w:rsid w:val="00E622C9"/>
    <w:rsid w:val="00E629D3"/>
    <w:rsid w:val="00E66BCB"/>
    <w:rsid w:val="00E67ED8"/>
    <w:rsid w:val="00E701AC"/>
    <w:rsid w:val="00E818D3"/>
    <w:rsid w:val="00E948B2"/>
    <w:rsid w:val="00EA1E18"/>
    <w:rsid w:val="00EA3502"/>
    <w:rsid w:val="00EB7A35"/>
    <w:rsid w:val="00EC007D"/>
    <w:rsid w:val="00EE6A8D"/>
    <w:rsid w:val="00F13695"/>
    <w:rsid w:val="00F148B0"/>
    <w:rsid w:val="00F15586"/>
    <w:rsid w:val="00F22062"/>
    <w:rsid w:val="00F31565"/>
    <w:rsid w:val="00F55F39"/>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C67"/>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186020273">
      <w:bodyDiv w:val="1"/>
      <w:marLeft w:val="0"/>
      <w:marRight w:val="0"/>
      <w:marTop w:val="0"/>
      <w:marBottom w:val="0"/>
      <w:divBdr>
        <w:top w:val="none" w:sz="0" w:space="0" w:color="auto"/>
        <w:left w:val="none" w:sz="0" w:space="0" w:color="auto"/>
        <w:bottom w:val="none" w:sz="0" w:space="0" w:color="auto"/>
        <w:right w:val="none" w:sz="0" w:space="0" w:color="auto"/>
      </w:divBdr>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860197">
      <w:bodyDiv w:val="1"/>
      <w:marLeft w:val="0"/>
      <w:marRight w:val="0"/>
      <w:marTop w:val="0"/>
      <w:marBottom w:val="0"/>
      <w:divBdr>
        <w:top w:val="none" w:sz="0" w:space="0" w:color="auto"/>
        <w:left w:val="none" w:sz="0" w:space="0" w:color="auto"/>
        <w:bottom w:val="none" w:sz="0" w:space="0" w:color="auto"/>
        <w:right w:val="none" w:sz="0" w:space="0" w:color="auto"/>
      </w:divBdr>
    </w:div>
    <w:div w:id="729184405">
      <w:bodyDiv w:val="1"/>
      <w:marLeft w:val="0"/>
      <w:marRight w:val="0"/>
      <w:marTop w:val="0"/>
      <w:marBottom w:val="0"/>
      <w:divBdr>
        <w:top w:val="none" w:sz="0" w:space="0" w:color="auto"/>
        <w:left w:val="none" w:sz="0" w:space="0" w:color="auto"/>
        <w:bottom w:val="none" w:sz="0" w:space="0" w:color="auto"/>
        <w:right w:val="none" w:sz="0" w:space="0" w:color="auto"/>
      </w:divBdr>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78995491">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34708">
      <w:bodyDiv w:val="1"/>
      <w:marLeft w:val="0"/>
      <w:marRight w:val="0"/>
      <w:marTop w:val="0"/>
      <w:marBottom w:val="0"/>
      <w:divBdr>
        <w:top w:val="none" w:sz="0" w:space="0" w:color="auto"/>
        <w:left w:val="none" w:sz="0" w:space="0" w:color="auto"/>
        <w:bottom w:val="none" w:sz="0" w:space="0" w:color="auto"/>
        <w:right w:val="none" w:sz="0" w:space="0" w:color="auto"/>
      </w:divBdr>
    </w:div>
    <w:div w:id="1027021424">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360013145">
      <w:bodyDiv w:val="1"/>
      <w:marLeft w:val="0"/>
      <w:marRight w:val="0"/>
      <w:marTop w:val="0"/>
      <w:marBottom w:val="0"/>
      <w:divBdr>
        <w:top w:val="none" w:sz="0" w:space="0" w:color="auto"/>
        <w:left w:val="none" w:sz="0" w:space="0" w:color="auto"/>
        <w:bottom w:val="none" w:sz="0" w:space="0" w:color="auto"/>
        <w:right w:val="none" w:sz="0" w:space="0" w:color="auto"/>
      </w:divBdr>
    </w:div>
    <w:div w:id="1375739995">
      <w:bodyDiv w:val="1"/>
      <w:marLeft w:val="0"/>
      <w:marRight w:val="0"/>
      <w:marTop w:val="0"/>
      <w:marBottom w:val="0"/>
      <w:divBdr>
        <w:top w:val="none" w:sz="0" w:space="0" w:color="auto"/>
        <w:left w:val="none" w:sz="0" w:space="0" w:color="auto"/>
        <w:bottom w:val="none" w:sz="0" w:space="0" w:color="auto"/>
        <w:right w:val="none" w:sz="0" w:space="0" w:color="auto"/>
      </w:divBdr>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691181941">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39075925">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6D9BB-B150-47C9-8EEE-BF66D1190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3050</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userx</cp:lastModifiedBy>
  <cp:revision>3</cp:revision>
  <cp:lastPrinted>2022-11-28T09:18:00Z</cp:lastPrinted>
  <dcterms:created xsi:type="dcterms:W3CDTF">2025-12-05T14:36:00Z</dcterms:created>
  <dcterms:modified xsi:type="dcterms:W3CDTF">2025-12-07T16:08:00Z</dcterms:modified>
</cp:coreProperties>
</file>