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7D97B71F" w14:textId="77777777" w:rsidTr="003A62E5">
        <w:trPr>
          <w:jc w:val="center"/>
        </w:trPr>
        <w:tc>
          <w:tcPr>
            <w:tcW w:w="9923" w:type="dxa"/>
          </w:tcPr>
          <w:p w14:paraId="503C19B8"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2CB39398"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0031E957"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15D16E26"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1E7B5C7C"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40592DE0" w14:textId="77777777" w:rsidR="008278C0" w:rsidRPr="004227E0" w:rsidRDefault="008278C0" w:rsidP="008278C0">
      <w:pPr>
        <w:spacing w:line="240" w:lineRule="auto"/>
        <w:ind w:left="5760"/>
        <w:jc w:val="right"/>
        <w:rPr>
          <w:rFonts w:ascii="Times New Roman" w:hAnsi="Times New Roman"/>
          <w:b/>
          <w:bCs/>
          <w:sz w:val="6"/>
          <w:szCs w:val="6"/>
        </w:rPr>
      </w:pPr>
    </w:p>
    <w:p w14:paraId="3841CFE7" w14:textId="77777777" w:rsidR="00D52286" w:rsidRPr="00BD3DA1" w:rsidRDefault="00D52286" w:rsidP="004227E0">
      <w:pPr>
        <w:spacing w:after="0" w:line="240" w:lineRule="auto"/>
        <w:ind w:left="5761" w:right="340"/>
        <w:jc w:val="right"/>
        <w:rPr>
          <w:rFonts w:ascii="Times New Roman" w:hAnsi="Times New Roman"/>
          <w:b/>
          <w:bCs/>
          <w:sz w:val="28"/>
          <w:szCs w:val="28"/>
        </w:rPr>
      </w:pPr>
    </w:p>
    <w:p w14:paraId="4FD1AF7A" w14:textId="77777777" w:rsidR="00093D4D" w:rsidRPr="00320C67" w:rsidRDefault="000D6359" w:rsidP="004227E0">
      <w:pPr>
        <w:spacing w:after="0" w:line="240" w:lineRule="auto"/>
        <w:ind w:left="5761" w:right="340"/>
        <w:jc w:val="right"/>
        <w:rPr>
          <w:rFonts w:ascii="Times New Roman" w:hAnsi="Times New Roman"/>
          <w:b/>
          <w:bCs/>
          <w:sz w:val="28"/>
          <w:szCs w:val="28"/>
        </w:rPr>
      </w:pPr>
      <w:r>
        <w:rPr>
          <w:rFonts w:ascii="Times New Roman" w:hAnsi="Times New Roman"/>
          <w:b/>
          <w:bCs/>
          <w:sz w:val="28"/>
          <w:szCs w:val="28"/>
        </w:rPr>
        <w:t>Αθήνα</w:t>
      </w:r>
      <w:r w:rsidR="00601FDB">
        <w:rPr>
          <w:rFonts w:ascii="Times New Roman" w:hAnsi="Times New Roman"/>
          <w:b/>
          <w:bCs/>
          <w:sz w:val="28"/>
          <w:szCs w:val="28"/>
        </w:rPr>
        <w:t xml:space="preserve"> </w:t>
      </w:r>
      <w:r w:rsidR="00D30EEA">
        <w:rPr>
          <w:rFonts w:ascii="Times New Roman" w:hAnsi="Times New Roman"/>
          <w:b/>
          <w:bCs/>
          <w:sz w:val="28"/>
          <w:szCs w:val="28"/>
        </w:rPr>
        <w:t xml:space="preserve"> </w:t>
      </w:r>
      <w:r w:rsidR="00736082">
        <w:rPr>
          <w:rFonts w:ascii="Times New Roman" w:hAnsi="Times New Roman"/>
          <w:b/>
          <w:bCs/>
          <w:sz w:val="28"/>
          <w:szCs w:val="28"/>
        </w:rPr>
        <w:t>2</w:t>
      </w:r>
      <w:r w:rsidR="00881E9F">
        <w:rPr>
          <w:rFonts w:ascii="Times New Roman" w:hAnsi="Times New Roman"/>
          <w:b/>
          <w:bCs/>
          <w:sz w:val="28"/>
          <w:szCs w:val="28"/>
        </w:rPr>
        <w:t>-12</w:t>
      </w:r>
      <w:r w:rsidR="007759AC" w:rsidRPr="00A73A7C">
        <w:rPr>
          <w:rFonts w:ascii="Times New Roman" w:hAnsi="Times New Roman"/>
          <w:b/>
          <w:bCs/>
          <w:sz w:val="28"/>
          <w:szCs w:val="28"/>
        </w:rPr>
        <w:t>-20</w:t>
      </w:r>
      <w:r w:rsidR="00490F12">
        <w:rPr>
          <w:rFonts w:ascii="Times New Roman" w:hAnsi="Times New Roman"/>
          <w:b/>
          <w:bCs/>
          <w:sz w:val="28"/>
          <w:szCs w:val="28"/>
        </w:rPr>
        <w:t>25</w:t>
      </w:r>
    </w:p>
    <w:p w14:paraId="3A45BE00" w14:textId="77777777" w:rsidR="00320C67" w:rsidRPr="00320C67" w:rsidRDefault="00320C67" w:rsidP="004227E0">
      <w:pPr>
        <w:spacing w:after="0" w:line="240" w:lineRule="auto"/>
        <w:ind w:left="5761" w:right="340"/>
        <w:jc w:val="right"/>
        <w:rPr>
          <w:rFonts w:ascii="Times New Roman" w:hAnsi="Times New Roman"/>
          <w:b/>
          <w:bCs/>
          <w:sz w:val="28"/>
          <w:szCs w:val="28"/>
        </w:rPr>
      </w:pPr>
    </w:p>
    <w:p w14:paraId="2096E84F" w14:textId="77777777" w:rsidR="00E26B4E" w:rsidRPr="00E26B4E" w:rsidRDefault="00E26B4E" w:rsidP="000C7053">
      <w:pPr>
        <w:ind w:left="709" w:hanging="709"/>
        <w:jc w:val="center"/>
        <w:rPr>
          <w:rFonts w:ascii="Times New Roman" w:hAnsi="Times New Roman"/>
          <w:b/>
          <w:bCs/>
          <w:sz w:val="8"/>
          <w:szCs w:val="8"/>
        </w:rPr>
      </w:pPr>
    </w:p>
    <w:p w14:paraId="585ADE2A" w14:textId="77777777" w:rsidR="00D52286" w:rsidRPr="00D30EEA" w:rsidRDefault="00D52286" w:rsidP="00D52286">
      <w:pPr>
        <w:spacing w:before="100" w:beforeAutospacing="1" w:after="100" w:afterAutospacing="1"/>
        <w:ind w:firstLine="568"/>
        <w:jc w:val="center"/>
        <w:rPr>
          <w:rFonts w:ascii="Times New Roman" w:hAnsi="Times New Roman"/>
          <w:sz w:val="32"/>
          <w:szCs w:val="32"/>
        </w:rPr>
      </w:pPr>
      <w:r w:rsidRPr="00D30EEA">
        <w:rPr>
          <w:rFonts w:ascii="Times New Roman" w:hAnsi="Times New Roman"/>
          <w:b/>
          <w:bCs/>
          <w:sz w:val="32"/>
          <w:szCs w:val="32"/>
        </w:rPr>
        <w:t>ΔΕΛΤΙΟ ΤΥΠΟΥ</w:t>
      </w:r>
    </w:p>
    <w:p w14:paraId="3109C554" w14:textId="77777777" w:rsidR="00D52286" w:rsidRDefault="00D52286" w:rsidP="00D52286">
      <w:pPr>
        <w:spacing w:before="100" w:beforeAutospacing="1" w:after="100" w:afterAutospacing="1"/>
        <w:ind w:firstLine="568"/>
        <w:jc w:val="center"/>
        <w:rPr>
          <w:rFonts w:cs="Calibri"/>
        </w:rPr>
      </w:pPr>
      <w:r>
        <w:rPr>
          <w:b/>
          <w:bCs/>
          <w:sz w:val="28"/>
          <w:szCs w:val="28"/>
        </w:rPr>
        <w:t> </w:t>
      </w:r>
    </w:p>
    <w:p w14:paraId="5EE3F9B6" w14:textId="77777777" w:rsidR="00736082" w:rsidRPr="00736082" w:rsidRDefault="00D52286" w:rsidP="00736082">
      <w:pPr>
        <w:spacing w:after="160" w:line="252" w:lineRule="auto"/>
        <w:rPr>
          <w:rFonts w:cs="Calibri"/>
          <w:b/>
          <w:sz w:val="32"/>
          <w:szCs w:val="32"/>
        </w:rPr>
      </w:pPr>
      <w:r w:rsidRPr="00736082">
        <w:rPr>
          <w:rFonts w:ascii="Times New Roman" w:hAnsi="Times New Roman"/>
          <w:b/>
          <w:bCs/>
          <w:sz w:val="32"/>
          <w:szCs w:val="32"/>
        </w:rPr>
        <w:t xml:space="preserve">ΘΕΜΑ: </w:t>
      </w:r>
      <w:r w:rsidR="00736082" w:rsidRPr="00736082">
        <w:rPr>
          <w:rFonts w:cs="Calibri"/>
          <w:b/>
          <w:sz w:val="32"/>
          <w:szCs w:val="32"/>
        </w:rPr>
        <w:t>Προχωρούν οι θεσμικές διαδικασίες για όσα καταγγείλαμε στους ελέγχους της βιολογικής μελισσοκομίας</w:t>
      </w:r>
    </w:p>
    <w:p w14:paraId="6AEF9EEB" w14:textId="77777777" w:rsidR="00736082" w:rsidRPr="00736082" w:rsidRDefault="00736082" w:rsidP="00736082">
      <w:pPr>
        <w:spacing w:after="160" w:line="252" w:lineRule="auto"/>
        <w:rPr>
          <w:rFonts w:cs="Calibri"/>
          <w:sz w:val="32"/>
          <w:szCs w:val="32"/>
        </w:rPr>
      </w:pPr>
      <w:r w:rsidRPr="00736082">
        <w:rPr>
          <w:rFonts w:cs="Calibri"/>
          <w:sz w:val="32"/>
          <w:szCs w:val="32"/>
        </w:rPr>
        <w:t> </w:t>
      </w:r>
    </w:p>
    <w:p w14:paraId="05B09B7B" w14:textId="4974C502" w:rsidR="00736082" w:rsidRPr="00736082" w:rsidRDefault="00736082" w:rsidP="0037670B">
      <w:pPr>
        <w:spacing w:after="160" w:line="252" w:lineRule="auto"/>
        <w:jc w:val="both"/>
        <w:rPr>
          <w:rFonts w:cs="Calibri"/>
          <w:sz w:val="32"/>
          <w:szCs w:val="32"/>
        </w:rPr>
      </w:pPr>
      <w:r w:rsidRPr="00736082">
        <w:rPr>
          <w:rFonts w:cs="Calibri"/>
          <w:sz w:val="32"/>
          <w:szCs w:val="32"/>
        </w:rPr>
        <w:t xml:space="preserve">Η ΠΟΓΕΔΥ ενημερώνει τα μέλη της ότι ο Πρόεδρος της Ομοσπονδίας κλήθηκε από την Εισαγγελία Πρωτοδικών Αθηνών για παροχή κατάθεσης, </w:t>
      </w:r>
      <w:hyperlink r:id="rId6" w:history="1">
        <w:r w:rsidRPr="002B20C1">
          <w:rPr>
            <w:rStyle w:val="-"/>
            <w:rFonts w:cs="Calibri"/>
            <w:sz w:val="32"/>
            <w:szCs w:val="32"/>
          </w:rPr>
          <w:t>στο πλαίσιο της διερεύνησης της αναφοράς που είχαμε υποβάλει στις 5/8/2025 προς την Εισαγγελία και το ΣΕΠΕ</w:t>
        </w:r>
      </w:hyperlink>
      <w:r w:rsidRPr="00736082">
        <w:rPr>
          <w:rFonts w:cs="Calibri"/>
          <w:sz w:val="32"/>
          <w:szCs w:val="32"/>
        </w:rPr>
        <w:t>, σχετικά με την υγεία και ασφάλεια των γεωτεχνικών κατά τη διενέργεια των επιτόπιων ελέγχων στη βιολογική μελισσοκομία.</w:t>
      </w:r>
    </w:p>
    <w:p w14:paraId="634965C5" w14:textId="77777777" w:rsidR="00736082" w:rsidRPr="00736082" w:rsidRDefault="00736082" w:rsidP="0037670B">
      <w:pPr>
        <w:spacing w:after="160" w:line="252" w:lineRule="auto"/>
        <w:jc w:val="both"/>
        <w:rPr>
          <w:rFonts w:cs="Calibri"/>
          <w:sz w:val="32"/>
          <w:szCs w:val="32"/>
        </w:rPr>
      </w:pPr>
      <w:r w:rsidRPr="00736082">
        <w:rPr>
          <w:rFonts w:cs="Calibri"/>
          <w:sz w:val="32"/>
          <w:szCs w:val="32"/>
        </w:rPr>
        <w:t>Η κλήση πραγματοποιείται κατόπιν της άμεσης αξιολόγησης της αναφοράς μας, η οποία τεκμηρίωνε σοβαρούς κινδύνους για τους συναδέλφους καθώς και πιθανές παραβάσεις της εργατικής και ποινικής νομοθεσίας από πλευράς της Διοίκησης.</w:t>
      </w:r>
    </w:p>
    <w:p w14:paraId="11D2173A" w14:textId="77777777" w:rsidR="00736082" w:rsidRPr="00736082" w:rsidRDefault="00736082" w:rsidP="0037670B">
      <w:pPr>
        <w:spacing w:after="160" w:line="252" w:lineRule="auto"/>
        <w:jc w:val="both"/>
        <w:rPr>
          <w:rFonts w:cs="Calibri"/>
          <w:sz w:val="32"/>
          <w:szCs w:val="32"/>
        </w:rPr>
      </w:pPr>
      <w:r w:rsidRPr="00736082">
        <w:rPr>
          <w:rFonts w:cs="Calibri"/>
          <w:sz w:val="32"/>
          <w:szCs w:val="32"/>
        </w:rPr>
        <w:t>Υπενθυμίζεται ότι η ΠΟΓΕΔΥ είχε ζητήσει τη διερεύνηση ενδεχόμενης παραβίασης:</w:t>
      </w:r>
    </w:p>
    <w:p w14:paraId="43D1CBAF" w14:textId="77777777" w:rsidR="00736082" w:rsidRPr="00736082" w:rsidRDefault="00736082" w:rsidP="0037670B">
      <w:pPr>
        <w:numPr>
          <w:ilvl w:val="0"/>
          <w:numId w:val="21"/>
        </w:numPr>
        <w:spacing w:after="160" w:line="252" w:lineRule="auto"/>
        <w:jc w:val="both"/>
        <w:rPr>
          <w:rFonts w:eastAsia="Times New Roman" w:cs="Calibri"/>
          <w:sz w:val="32"/>
          <w:szCs w:val="32"/>
        </w:rPr>
      </w:pPr>
      <w:r w:rsidRPr="00736082">
        <w:rPr>
          <w:rFonts w:eastAsia="Times New Roman" w:cs="Calibri"/>
          <w:sz w:val="32"/>
          <w:szCs w:val="32"/>
        </w:rPr>
        <w:t>του Ν. 3850/2010 για την υγεία και ασφάλεια των εργαζομένων,</w:t>
      </w:r>
    </w:p>
    <w:p w14:paraId="627FDA94" w14:textId="77777777" w:rsidR="00736082" w:rsidRPr="00736082" w:rsidRDefault="00736082" w:rsidP="0037670B">
      <w:pPr>
        <w:numPr>
          <w:ilvl w:val="0"/>
          <w:numId w:val="21"/>
        </w:numPr>
        <w:spacing w:after="160" w:line="252" w:lineRule="auto"/>
        <w:jc w:val="both"/>
        <w:rPr>
          <w:rFonts w:eastAsia="Times New Roman" w:cs="Calibri"/>
          <w:sz w:val="32"/>
          <w:szCs w:val="32"/>
        </w:rPr>
      </w:pPr>
      <w:r w:rsidRPr="00736082">
        <w:rPr>
          <w:rFonts w:eastAsia="Times New Roman" w:cs="Calibri"/>
          <w:sz w:val="32"/>
          <w:szCs w:val="32"/>
        </w:rPr>
        <w:t>των διατάξεων περί πρόληψης και προστασίας,</w:t>
      </w:r>
    </w:p>
    <w:p w14:paraId="5DF15015" w14:textId="77777777" w:rsidR="00736082" w:rsidRPr="00736082" w:rsidRDefault="00736082" w:rsidP="0037670B">
      <w:pPr>
        <w:numPr>
          <w:ilvl w:val="0"/>
          <w:numId w:val="21"/>
        </w:numPr>
        <w:spacing w:after="160" w:line="252" w:lineRule="auto"/>
        <w:jc w:val="both"/>
        <w:rPr>
          <w:rFonts w:eastAsia="Times New Roman" w:cs="Calibri"/>
          <w:sz w:val="32"/>
          <w:szCs w:val="32"/>
        </w:rPr>
      </w:pPr>
      <w:r w:rsidRPr="00736082">
        <w:rPr>
          <w:rFonts w:eastAsia="Times New Roman" w:cs="Calibri"/>
          <w:sz w:val="32"/>
          <w:szCs w:val="32"/>
        </w:rPr>
        <w:t>καθώς και του άρθρου 306 ΠΚ περί έκθεσης σε κίνδυνο,</w:t>
      </w:r>
    </w:p>
    <w:p w14:paraId="0D9A1A30" w14:textId="77777777" w:rsidR="00736082" w:rsidRPr="00736082" w:rsidRDefault="00736082" w:rsidP="0037670B">
      <w:pPr>
        <w:spacing w:after="160" w:line="252" w:lineRule="auto"/>
        <w:jc w:val="both"/>
        <w:rPr>
          <w:rFonts w:eastAsiaTheme="minorHAnsi" w:cs="Calibri"/>
          <w:sz w:val="32"/>
          <w:szCs w:val="32"/>
        </w:rPr>
      </w:pPr>
      <w:r w:rsidRPr="00736082">
        <w:rPr>
          <w:rFonts w:cs="Calibri"/>
          <w:sz w:val="32"/>
          <w:szCs w:val="32"/>
        </w:rPr>
        <w:t>με βάση αναφορές συναδέλφων για ελλιπή μέτρα ασφαλείας, έλλειψη ιατρικής αξιολόγησης, ανεπαρκή ΜΑΠ, χορήγηση φαρμακευτικών σκευασμάτων χωρίς ιατρική γνωμάτευση και πίεση για ολοκλήρωση των ελέγχων παρά τους κινδύνους.</w:t>
      </w:r>
    </w:p>
    <w:p w14:paraId="6BEB4DC5" w14:textId="77777777" w:rsidR="00736082" w:rsidRPr="00736082" w:rsidRDefault="00736082" w:rsidP="0037670B">
      <w:pPr>
        <w:spacing w:after="160" w:line="252" w:lineRule="auto"/>
        <w:jc w:val="both"/>
        <w:rPr>
          <w:rFonts w:cs="Calibri"/>
          <w:sz w:val="32"/>
          <w:szCs w:val="32"/>
        </w:rPr>
      </w:pPr>
      <w:r w:rsidRPr="00736082">
        <w:rPr>
          <w:rFonts w:cs="Calibri"/>
          <w:sz w:val="32"/>
          <w:szCs w:val="32"/>
        </w:rPr>
        <w:t xml:space="preserve">Η κλήση του Προέδρου της ΠΟΓΕΔΥ αποτελεί σαφή ένδειξη ότι οι αρμόδιες εισαγγελικές αρχές αξιολογούν σοβαρά τα ζητήματα που αναδείξαμε, </w:t>
      </w:r>
      <w:r w:rsidRPr="00736082">
        <w:rPr>
          <w:rFonts w:cs="Calibri"/>
          <w:sz w:val="32"/>
          <w:szCs w:val="32"/>
        </w:rPr>
        <w:lastRenderedPageBreak/>
        <w:t>επιβεβαιώνοντας ότι η Ομοσπονδία λειτούργησε με πλήρη συναίσθηση της ευθύνης της απέναντι στους συναδέλφους και τη νομιμότητα.</w:t>
      </w:r>
    </w:p>
    <w:p w14:paraId="3D137075" w14:textId="77777777" w:rsidR="00736082" w:rsidRPr="00736082" w:rsidRDefault="00736082" w:rsidP="0037670B">
      <w:pPr>
        <w:spacing w:after="160" w:line="252" w:lineRule="auto"/>
        <w:jc w:val="both"/>
        <w:rPr>
          <w:rFonts w:cs="Calibri"/>
          <w:sz w:val="32"/>
          <w:szCs w:val="32"/>
        </w:rPr>
      </w:pPr>
      <w:r w:rsidRPr="00736082">
        <w:rPr>
          <w:rFonts w:cs="Calibri"/>
          <w:sz w:val="32"/>
          <w:szCs w:val="32"/>
        </w:rPr>
        <w:t>Η ΠΟΓΕΔΥ θα συνεχίσει να υπερασπίζεται την υγεία, την ασφάλεια και τα δικαιώματα των γεωτεχνικών, να αναδεικνύει κάθε περιστατικό που παραβιάζει τη νομοθεσία και να διεκδικεί θεσμική προστασία για όλους τους εργαζόμενους που εκτελούν επικίνδυνα καθήκοντα.</w:t>
      </w:r>
    </w:p>
    <w:p w14:paraId="2DCE15F1" w14:textId="77777777" w:rsidR="00736082" w:rsidRPr="00736082" w:rsidRDefault="00736082" w:rsidP="00736082">
      <w:pPr>
        <w:spacing w:after="160" w:line="252" w:lineRule="auto"/>
        <w:rPr>
          <w:rFonts w:cs="Calibri"/>
          <w:sz w:val="32"/>
          <w:szCs w:val="32"/>
        </w:rPr>
      </w:pPr>
      <w:r w:rsidRPr="00736082">
        <w:rPr>
          <w:rFonts w:cs="Calibri"/>
          <w:sz w:val="32"/>
          <w:szCs w:val="32"/>
        </w:rPr>
        <w:t> </w:t>
      </w:r>
    </w:p>
    <w:p w14:paraId="562C856F" w14:textId="77777777" w:rsidR="00881E9F" w:rsidRPr="00736082" w:rsidRDefault="00881E9F" w:rsidP="00736082">
      <w:pPr>
        <w:spacing w:after="160" w:line="252" w:lineRule="auto"/>
        <w:rPr>
          <w:rFonts w:cs="Calibri"/>
          <w:sz w:val="32"/>
          <w:szCs w:val="32"/>
        </w:rPr>
      </w:pPr>
    </w:p>
    <w:p w14:paraId="0507C6B9" w14:textId="77777777" w:rsidR="007D05CB" w:rsidRPr="00881E9F" w:rsidRDefault="007D05CB" w:rsidP="00881E9F">
      <w:pPr>
        <w:spacing w:after="160" w:line="252" w:lineRule="auto"/>
        <w:rPr>
          <w:rFonts w:cs="Calibri"/>
          <w:sz w:val="32"/>
          <w:szCs w:val="32"/>
        </w:rPr>
      </w:pPr>
    </w:p>
    <w:p w14:paraId="165F610E" w14:textId="77777777" w:rsidR="00D30EEA" w:rsidRPr="0060132D" w:rsidRDefault="00D30EEA" w:rsidP="00D30EEA">
      <w:pPr>
        <w:spacing w:after="160" w:line="252" w:lineRule="auto"/>
        <w:jc w:val="both"/>
        <w:rPr>
          <w:rFonts w:ascii="Times New Roman" w:hAnsi="Times New Roman"/>
          <w:sz w:val="32"/>
          <w:szCs w:val="32"/>
        </w:rPr>
      </w:pPr>
    </w:p>
    <w:p w14:paraId="641B1240" w14:textId="77777777" w:rsidR="00842E46" w:rsidRPr="004227E0" w:rsidRDefault="009A7EC7" w:rsidP="004227E0">
      <w:pPr>
        <w:shd w:val="clear" w:color="auto" w:fill="FFFFFF"/>
        <w:spacing w:after="160" w:line="164" w:lineRule="atLeast"/>
        <w:ind w:firstLine="720"/>
        <w:jc w:val="both"/>
        <w:rPr>
          <w:rFonts w:eastAsia="Times New Roman" w:cs="Calibri"/>
          <w:color w:val="222222"/>
          <w:sz w:val="28"/>
          <w:szCs w:val="28"/>
          <w:lang w:eastAsia="el-GR"/>
        </w:rPr>
      </w:pPr>
      <w:r w:rsidRPr="00D30EEA">
        <w:rPr>
          <w:rFonts w:ascii="Times New Roman" w:hAnsi="Times New Roman"/>
          <w:noProof/>
          <w:sz w:val="32"/>
          <w:szCs w:val="32"/>
          <w:lang w:eastAsia="el-GR"/>
        </w:rPr>
        <w:drawing>
          <wp:anchor distT="0" distB="0" distL="114300" distR="114300" simplePos="0" relativeHeight="251658240" behindDoc="0" locked="0" layoutInCell="1" allowOverlap="1" wp14:anchorId="7D981BFB" wp14:editId="4F765A41">
            <wp:simplePos x="0" y="0"/>
            <wp:positionH relativeFrom="margin">
              <wp:posOffset>4153535</wp:posOffset>
            </wp:positionH>
            <wp:positionV relativeFrom="margin">
              <wp:posOffset>3625215</wp:posOffset>
            </wp:positionV>
            <wp:extent cx="1573530" cy="1407160"/>
            <wp:effectExtent l="19050" t="0" r="7620" b="0"/>
            <wp:wrapSquare wrapText="bothSides"/>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3530" cy="1407160"/>
                    </a:xfrm>
                    <a:prstGeom prst="rect">
                      <a:avLst/>
                    </a:prstGeom>
                    <a:noFill/>
                    <a:ln>
                      <a:noFill/>
                    </a:ln>
                  </pic:spPr>
                </pic:pic>
              </a:graphicData>
            </a:graphic>
          </wp:anchor>
        </w:drawing>
      </w:r>
      <w:r w:rsidRPr="00D30EEA">
        <w:rPr>
          <w:rFonts w:ascii="Times New Roman" w:eastAsia="Times New Roman" w:hAnsi="Times New Roman"/>
          <w:color w:val="222222"/>
          <w:sz w:val="32"/>
          <w:szCs w:val="32"/>
          <w:lang w:eastAsia="el-GR"/>
        </w:rPr>
        <w:t xml:space="preserve">                                </w:t>
      </w:r>
      <w:r w:rsidR="00E66BCB">
        <w:rPr>
          <w:rFonts w:ascii="Times New Roman" w:eastAsia="Times New Roman" w:hAnsi="Times New Roman"/>
          <w:color w:val="222222"/>
          <w:sz w:val="32"/>
          <w:szCs w:val="32"/>
          <w:lang w:eastAsia="el-GR"/>
        </w:rPr>
        <w:t xml:space="preserve">                              </w:t>
      </w:r>
      <w:r w:rsidRPr="00D30EEA">
        <w:rPr>
          <w:rFonts w:ascii="Times New Roman" w:eastAsia="Times New Roman" w:hAnsi="Times New Roman"/>
          <w:color w:val="222222"/>
          <w:sz w:val="32"/>
          <w:szCs w:val="32"/>
          <w:lang w:eastAsia="el-GR"/>
        </w:rPr>
        <w:t xml:space="preserve">         </w:t>
      </w:r>
      <w:r w:rsidR="00842E46" w:rsidRPr="003109EC">
        <w:rPr>
          <w:rFonts w:ascii="Times New Roman" w:hAnsi="Times New Roman"/>
          <w:b/>
          <w:bCs/>
          <w:sz w:val="28"/>
          <w:szCs w:val="28"/>
        </w:rPr>
        <w:t>Για  το  Δ.Σ.</w:t>
      </w:r>
      <w:r w:rsidR="004227E0" w:rsidRPr="004227E0">
        <w:rPr>
          <w:noProof/>
          <w:szCs w:val="28"/>
          <w:lang w:eastAsia="el-GR"/>
        </w:rPr>
        <w:t xml:space="preserve"> </w:t>
      </w:r>
    </w:p>
    <w:sectPr w:rsidR="00842E46" w:rsidRPr="004227E0" w:rsidSect="009A7EC7">
      <w:pgSz w:w="11906" w:h="16838"/>
      <w:pgMar w:top="426" w:right="849"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8" w15:restartNumberingAfterBreak="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4"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5" w15:restartNumberingAfterBreak="0">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8"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0"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1047415365">
    <w:abstractNumId w:val="0"/>
  </w:num>
  <w:num w:numId="2" w16cid:durableId="1851138649">
    <w:abstractNumId w:val="19"/>
  </w:num>
  <w:num w:numId="3" w16cid:durableId="1335303552">
    <w:abstractNumId w:val="13"/>
  </w:num>
  <w:num w:numId="4" w16cid:durableId="1227105104">
    <w:abstractNumId w:val="14"/>
  </w:num>
  <w:num w:numId="5" w16cid:durableId="1145052868">
    <w:abstractNumId w:val="18"/>
  </w:num>
  <w:num w:numId="6" w16cid:durableId="1209419934">
    <w:abstractNumId w:val="17"/>
  </w:num>
  <w:num w:numId="7" w16cid:durableId="833188009">
    <w:abstractNumId w:val="7"/>
  </w:num>
  <w:num w:numId="8" w16cid:durableId="882718335">
    <w:abstractNumId w:val="16"/>
  </w:num>
  <w:num w:numId="9" w16cid:durableId="830021651">
    <w:abstractNumId w:val="4"/>
  </w:num>
  <w:num w:numId="10" w16cid:durableId="1196581663">
    <w:abstractNumId w:val="20"/>
  </w:num>
  <w:num w:numId="11" w16cid:durableId="134226078">
    <w:abstractNumId w:val="3"/>
  </w:num>
  <w:num w:numId="12" w16cid:durableId="901914361">
    <w:abstractNumId w:val="1"/>
  </w:num>
  <w:num w:numId="13" w16cid:durableId="479348877">
    <w:abstractNumId w:val="10"/>
  </w:num>
  <w:num w:numId="14" w16cid:durableId="1966111161">
    <w:abstractNumId w:val="12"/>
  </w:num>
  <w:num w:numId="15" w16cid:durableId="1802571063">
    <w:abstractNumId w:val="6"/>
  </w:num>
  <w:num w:numId="16" w16cid:durableId="1297220076">
    <w:abstractNumId w:val="11"/>
  </w:num>
  <w:num w:numId="17" w16cid:durableId="642393618">
    <w:abstractNumId w:val="9"/>
  </w:num>
  <w:num w:numId="18" w16cid:durableId="19644622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2409830">
    <w:abstractNumId w:val="5"/>
  </w:num>
  <w:num w:numId="20" w16cid:durableId="18508691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28644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3265"/>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6359"/>
    <w:rsid w:val="000D706D"/>
    <w:rsid w:val="000E4796"/>
    <w:rsid w:val="000F0A9C"/>
    <w:rsid w:val="000F39E0"/>
    <w:rsid w:val="00107239"/>
    <w:rsid w:val="0011039E"/>
    <w:rsid w:val="00113AA9"/>
    <w:rsid w:val="00144D11"/>
    <w:rsid w:val="00150AA2"/>
    <w:rsid w:val="00167B46"/>
    <w:rsid w:val="00177731"/>
    <w:rsid w:val="001801F9"/>
    <w:rsid w:val="00183624"/>
    <w:rsid w:val="00186A34"/>
    <w:rsid w:val="00193D93"/>
    <w:rsid w:val="001C3965"/>
    <w:rsid w:val="001C58C6"/>
    <w:rsid w:val="001D4992"/>
    <w:rsid w:val="001D70FB"/>
    <w:rsid w:val="001E2B23"/>
    <w:rsid w:val="001F626C"/>
    <w:rsid w:val="002100BE"/>
    <w:rsid w:val="002146C0"/>
    <w:rsid w:val="0023184D"/>
    <w:rsid w:val="00243B9D"/>
    <w:rsid w:val="00243D22"/>
    <w:rsid w:val="0027531B"/>
    <w:rsid w:val="002778C0"/>
    <w:rsid w:val="002B0CEE"/>
    <w:rsid w:val="002B20C1"/>
    <w:rsid w:val="002D315C"/>
    <w:rsid w:val="002E2101"/>
    <w:rsid w:val="002E6550"/>
    <w:rsid w:val="002F6A6E"/>
    <w:rsid w:val="003109EC"/>
    <w:rsid w:val="0031532B"/>
    <w:rsid w:val="00316345"/>
    <w:rsid w:val="00320C67"/>
    <w:rsid w:val="00322FF2"/>
    <w:rsid w:val="00324572"/>
    <w:rsid w:val="003314B3"/>
    <w:rsid w:val="00343378"/>
    <w:rsid w:val="00345081"/>
    <w:rsid w:val="00356C93"/>
    <w:rsid w:val="00363F9F"/>
    <w:rsid w:val="00372B2E"/>
    <w:rsid w:val="003752CC"/>
    <w:rsid w:val="0037670B"/>
    <w:rsid w:val="003A4624"/>
    <w:rsid w:val="003A62E5"/>
    <w:rsid w:val="003B476C"/>
    <w:rsid w:val="003C2F93"/>
    <w:rsid w:val="003D7E34"/>
    <w:rsid w:val="003F0E0C"/>
    <w:rsid w:val="003F3A97"/>
    <w:rsid w:val="00404FD5"/>
    <w:rsid w:val="00421E14"/>
    <w:rsid w:val="004227E0"/>
    <w:rsid w:val="00445A88"/>
    <w:rsid w:val="004460CE"/>
    <w:rsid w:val="00454FAC"/>
    <w:rsid w:val="00455915"/>
    <w:rsid w:val="00455ED4"/>
    <w:rsid w:val="004665C8"/>
    <w:rsid w:val="00490F12"/>
    <w:rsid w:val="00491DD6"/>
    <w:rsid w:val="004A27D5"/>
    <w:rsid w:val="004B0A48"/>
    <w:rsid w:val="004B2B6C"/>
    <w:rsid w:val="004B4C8A"/>
    <w:rsid w:val="004C60ED"/>
    <w:rsid w:val="004F3D57"/>
    <w:rsid w:val="004F5CBF"/>
    <w:rsid w:val="005054EA"/>
    <w:rsid w:val="00513CEF"/>
    <w:rsid w:val="00543079"/>
    <w:rsid w:val="00563092"/>
    <w:rsid w:val="00564652"/>
    <w:rsid w:val="0057520D"/>
    <w:rsid w:val="005A44F1"/>
    <w:rsid w:val="005B2F89"/>
    <w:rsid w:val="005D323E"/>
    <w:rsid w:val="005E0A32"/>
    <w:rsid w:val="005E52F3"/>
    <w:rsid w:val="005F1CC2"/>
    <w:rsid w:val="0060132D"/>
    <w:rsid w:val="00601FDB"/>
    <w:rsid w:val="0062468F"/>
    <w:rsid w:val="00630AB0"/>
    <w:rsid w:val="006462F2"/>
    <w:rsid w:val="006464C7"/>
    <w:rsid w:val="006507BF"/>
    <w:rsid w:val="00650AEB"/>
    <w:rsid w:val="006567DE"/>
    <w:rsid w:val="006579AF"/>
    <w:rsid w:val="006638C2"/>
    <w:rsid w:val="00665969"/>
    <w:rsid w:val="00666081"/>
    <w:rsid w:val="0067023D"/>
    <w:rsid w:val="0068766C"/>
    <w:rsid w:val="00693DCC"/>
    <w:rsid w:val="00694C36"/>
    <w:rsid w:val="006A1712"/>
    <w:rsid w:val="006A1FFB"/>
    <w:rsid w:val="006B6888"/>
    <w:rsid w:val="006D01AF"/>
    <w:rsid w:val="006E31C1"/>
    <w:rsid w:val="006F1A94"/>
    <w:rsid w:val="006F5222"/>
    <w:rsid w:val="00714FDB"/>
    <w:rsid w:val="00716E70"/>
    <w:rsid w:val="007204C9"/>
    <w:rsid w:val="00733ECD"/>
    <w:rsid w:val="00736082"/>
    <w:rsid w:val="00737453"/>
    <w:rsid w:val="00751DCA"/>
    <w:rsid w:val="007639F1"/>
    <w:rsid w:val="00773BA0"/>
    <w:rsid w:val="0077413F"/>
    <w:rsid w:val="007759AC"/>
    <w:rsid w:val="00776D1B"/>
    <w:rsid w:val="00787609"/>
    <w:rsid w:val="007B126A"/>
    <w:rsid w:val="007B65FE"/>
    <w:rsid w:val="007C56E6"/>
    <w:rsid w:val="007D05CB"/>
    <w:rsid w:val="007E4951"/>
    <w:rsid w:val="00802A67"/>
    <w:rsid w:val="00816329"/>
    <w:rsid w:val="008278C0"/>
    <w:rsid w:val="00835764"/>
    <w:rsid w:val="008371F7"/>
    <w:rsid w:val="00842E46"/>
    <w:rsid w:val="00850CA4"/>
    <w:rsid w:val="0085391A"/>
    <w:rsid w:val="0085510B"/>
    <w:rsid w:val="008577CD"/>
    <w:rsid w:val="00866852"/>
    <w:rsid w:val="00881E9F"/>
    <w:rsid w:val="00883FFE"/>
    <w:rsid w:val="008A650B"/>
    <w:rsid w:val="008B142B"/>
    <w:rsid w:val="008B5FBD"/>
    <w:rsid w:val="008B683E"/>
    <w:rsid w:val="008C415C"/>
    <w:rsid w:val="008D3BDD"/>
    <w:rsid w:val="008F1460"/>
    <w:rsid w:val="008F254E"/>
    <w:rsid w:val="008F2973"/>
    <w:rsid w:val="008F4B7A"/>
    <w:rsid w:val="0091249C"/>
    <w:rsid w:val="009157AA"/>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7EC7"/>
    <w:rsid w:val="009C6A34"/>
    <w:rsid w:val="009F4164"/>
    <w:rsid w:val="00A16046"/>
    <w:rsid w:val="00A371D8"/>
    <w:rsid w:val="00A37EAC"/>
    <w:rsid w:val="00A45302"/>
    <w:rsid w:val="00A65F17"/>
    <w:rsid w:val="00A665FA"/>
    <w:rsid w:val="00A720C1"/>
    <w:rsid w:val="00A73A7C"/>
    <w:rsid w:val="00A863B9"/>
    <w:rsid w:val="00A86B7D"/>
    <w:rsid w:val="00A90934"/>
    <w:rsid w:val="00AA5E08"/>
    <w:rsid w:val="00AB599F"/>
    <w:rsid w:val="00AE163F"/>
    <w:rsid w:val="00B01FB1"/>
    <w:rsid w:val="00B0709A"/>
    <w:rsid w:val="00B109A1"/>
    <w:rsid w:val="00B4263C"/>
    <w:rsid w:val="00B5059B"/>
    <w:rsid w:val="00B557DD"/>
    <w:rsid w:val="00B63E39"/>
    <w:rsid w:val="00B67672"/>
    <w:rsid w:val="00B82BF4"/>
    <w:rsid w:val="00BA536E"/>
    <w:rsid w:val="00BC193A"/>
    <w:rsid w:val="00BC37C2"/>
    <w:rsid w:val="00BD026A"/>
    <w:rsid w:val="00BD3DA1"/>
    <w:rsid w:val="00BE4278"/>
    <w:rsid w:val="00BF3665"/>
    <w:rsid w:val="00C2334E"/>
    <w:rsid w:val="00C270E3"/>
    <w:rsid w:val="00C31280"/>
    <w:rsid w:val="00C31F46"/>
    <w:rsid w:val="00C4563E"/>
    <w:rsid w:val="00C470BE"/>
    <w:rsid w:val="00C5614A"/>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30EEA"/>
    <w:rsid w:val="00D3260A"/>
    <w:rsid w:val="00D4596D"/>
    <w:rsid w:val="00D52286"/>
    <w:rsid w:val="00D5463F"/>
    <w:rsid w:val="00D73CF7"/>
    <w:rsid w:val="00D90707"/>
    <w:rsid w:val="00D95012"/>
    <w:rsid w:val="00DC41F1"/>
    <w:rsid w:val="00DD39FE"/>
    <w:rsid w:val="00DD5B52"/>
    <w:rsid w:val="00DE2ED7"/>
    <w:rsid w:val="00E00821"/>
    <w:rsid w:val="00E026ED"/>
    <w:rsid w:val="00E0329D"/>
    <w:rsid w:val="00E26B4E"/>
    <w:rsid w:val="00E41ADB"/>
    <w:rsid w:val="00E42092"/>
    <w:rsid w:val="00E44D22"/>
    <w:rsid w:val="00E528F3"/>
    <w:rsid w:val="00E622C9"/>
    <w:rsid w:val="00E629D3"/>
    <w:rsid w:val="00E66BCB"/>
    <w:rsid w:val="00E67ED8"/>
    <w:rsid w:val="00E701AC"/>
    <w:rsid w:val="00E818D3"/>
    <w:rsid w:val="00E948B2"/>
    <w:rsid w:val="00EA1E18"/>
    <w:rsid w:val="00EA3502"/>
    <w:rsid w:val="00EB7A35"/>
    <w:rsid w:val="00EC007D"/>
    <w:rsid w:val="00EE6A8D"/>
    <w:rsid w:val="00F13695"/>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596D"/>
  <w15:docId w15:val="{5C940028-4554-466D-AA7B-21ECE8E2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 w:type="character" w:styleId="a7">
    <w:name w:val="Unresolved Mention"/>
    <w:basedOn w:val="a0"/>
    <w:uiPriority w:val="99"/>
    <w:semiHidden/>
    <w:unhideWhenUsed/>
    <w:rsid w:val="002B2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egdy.gr/%cf%80%ce%b1%cf%81%ce%ad%ce%bc%ce%b2%ce%b1%cf%83%ce%b7-%cf%84%ce%b7%cf%82-%cf%80%ce%b1%ce%bd%ce%b5%ce%bb%ce%bb%ce%ae%ce%bd%ce%b9%ce%b1%cf%82-%ce%bf%ce%bc%ce%bf%cf%83%cf%80%ce%bf%ce%bd%ce%b4%ce%af-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4942A-D028-426B-8972-59065DED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1894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5</cp:revision>
  <cp:lastPrinted>2022-11-28T09:18:00Z</cp:lastPrinted>
  <dcterms:created xsi:type="dcterms:W3CDTF">2025-12-02T12:20:00Z</dcterms:created>
  <dcterms:modified xsi:type="dcterms:W3CDTF">2025-12-02T12:28:00Z</dcterms:modified>
</cp:coreProperties>
</file>