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27A268EC" w14:textId="77777777" w:rsidTr="003A62E5">
        <w:trPr>
          <w:jc w:val="center"/>
        </w:trPr>
        <w:tc>
          <w:tcPr>
            <w:tcW w:w="9923" w:type="dxa"/>
          </w:tcPr>
          <w:p w14:paraId="31F25D40"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39F021D0"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4C4DFFEE"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67601F5B"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6D9FD45A"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r w:rsidRPr="00AB599F">
              <w:rPr>
                <w:rFonts w:ascii="Times New Roman" w:hAnsi="Times New Roman"/>
                <w:bCs/>
                <w:sz w:val="24"/>
                <w:szCs w:val="24"/>
                <w:lang w:val="en-US"/>
              </w:rPr>
              <w:t>minagric</w:t>
            </w:r>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1C9FF2B0" w14:textId="77777777" w:rsidR="008278C0" w:rsidRPr="004227E0" w:rsidRDefault="008278C0" w:rsidP="008278C0">
      <w:pPr>
        <w:spacing w:line="240" w:lineRule="auto"/>
        <w:ind w:left="5760"/>
        <w:jc w:val="right"/>
        <w:rPr>
          <w:rFonts w:ascii="Times New Roman" w:hAnsi="Times New Roman"/>
          <w:b/>
          <w:bCs/>
          <w:sz w:val="6"/>
          <w:szCs w:val="6"/>
        </w:rPr>
      </w:pPr>
    </w:p>
    <w:p w14:paraId="3F2E1252" w14:textId="77777777" w:rsidR="00D52286" w:rsidRPr="00CA0B4F" w:rsidRDefault="00D52286" w:rsidP="004227E0">
      <w:pPr>
        <w:spacing w:after="0" w:line="240" w:lineRule="auto"/>
        <w:ind w:left="5761" w:right="340"/>
        <w:jc w:val="right"/>
        <w:rPr>
          <w:rFonts w:ascii="Times New Roman" w:hAnsi="Times New Roman"/>
          <w:b/>
          <w:bCs/>
          <w:sz w:val="28"/>
          <w:szCs w:val="28"/>
        </w:rPr>
      </w:pPr>
    </w:p>
    <w:p w14:paraId="65819919" w14:textId="77777777"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24</w:t>
      </w:r>
      <w:r w:rsidR="00084B19">
        <w:rPr>
          <w:rFonts w:ascii="Times New Roman" w:hAnsi="Times New Roman"/>
          <w:b/>
          <w:bCs/>
          <w:sz w:val="28"/>
          <w:szCs w:val="28"/>
        </w:rPr>
        <w:t>-1</w:t>
      </w:r>
      <w:r w:rsidR="003109EC">
        <w:rPr>
          <w:rFonts w:ascii="Times New Roman" w:hAnsi="Times New Roman"/>
          <w:b/>
          <w:bCs/>
          <w:sz w:val="28"/>
          <w:szCs w:val="28"/>
        </w:rPr>
        <w:t>1</w:t>
      </w:r>
      <w:r w:rsidR="007759AC" w:rsidRPr="00A73A7C">
        <w:rPr>
          <w:rFonts w:ascii="Times New Roman" w:hAnsi="Times New Roman"/>
          <w:b/>
          <w:bCs/>
          <w:sz w:val="28"/>
          <w:szCs w:val="28"/>
        </w:rPr>
        <w:t>-20</w:t>
      </w:r>
      <w:r w:rsidR="00490F12">
        <w:rPr>
          <w:rFonts w:ascii="Times New Roman" w:hAnsi="Times New Roman"/>
          <w:b/>
          <w:bCs/>
          <w:sz w:val="28"/>
          <w:szCs w:val="28"/>
        </w:rPr>
        <w:t>25</w:t>
      </w:r>
    </w:p>
    <w:p w14:paraId="37DB2E99" w14:textId="77777777" w:rsidR="00320C67" w:rsidRPr="00320C67" w:rsidRDefault="00320C67" w:rsidP="004227E0">
      <w:pPr>
        <w:spacing w:after="0" w:line="240" w:lineRule="auto"/>
        <w:ind w:left="5761" w:right="340"/>
        <w:jc w:val="right"/>
        <w:rPr>
          <w:rFonts w:ascii="Times New Roman" w:hAnsi="Times New Roman"/>
          <w:b/>
          <w:bCs/>
          <w:sz w:val="28"/>
          <w:szCs w:val="28"/>
        </w:rPr>
      </w:pPr>
    </w:p>
    <w:p w14:paraId="6E97673D" w14:textId="77777777" w:rsidR="00E26B4E" w:rsidRPr="00E26B4E" w:rsidRDefault="00E26B4E" w:rsidP="000C7053">
      <w:pPr>
        <w:ind w:left="709" w:hanging="709"/>
        <w:jc w:val="center"/>
        <w:rPr>
          <w:rFonts w:ascii="Times New Roman" w:hAnsi="Times New Roman"/>
          <w:b/>
          <w:bCs/>
          <w:sz w:val="8"/>
          <w:szCs w:val="8"/>
        </w:rPr>
      </w:pPr>
    </w:p>
    <w:p w14:paraId="41609030" w14:textId="77777777" w:rsidR="00D52286" w:rsidRPr="00D30EEA" w:rsidRDefault="00D52286" w:rsidP="00D52286">
      <w:pPr>
        <w:spacing w:before="100" w:beforeAutospacing="1" w:after="100" w:afterAutospacing="1"/>
        <w:ind w:firstLine="568"/>
        <w:jc w:val="center"/>
        <w:rPr>
          <w:rFonts w:ascii="Times New Roman" w:hAnsi="Times New Roman"/>
          <w:sz w:val="32"/>
          <w:szCs w:val="32"/>
        </w:rPr>
      </w:pPr>
      <w:r w:rsidRPr="00D30EEA">
        <w:rPr>
          <w:rFonts w:ascii="Times New Roman" w:hAnsi="Times New Roman"/>
          <w:b/>
          <w:bCs/>
          <w:sz w:val="32"/>
          <w:szCs w:val="32"/>
        </w:rPr>
        <w:t>ΔΕΛΤΙΟ ΤΥΠΟΥ</w:t>
      </w:r>
    </w:p>
    <w:p w14:paraId="3088532F" w14:textId="77777777" w:rsidR="00D52286" w:rsidRDefault="00D52286" w:rsidP="00D52286">
      <w:pPr>
        <w:spacing w:before="100" w:beforeAutospacing="1" w:after="100" w:afterAutospacing="1"/>
        <w:ind w:firstLine="568"/>
        <w:jc w:val="center"/>
        <w:rPr>
          <w:rFonts w:cs="Calibri"/>
        </w:rPr>
      </w:pPr>
      <w:r>
        <w:rPr>
          <w:b/>
          <w:bCs/>
          <w:sz w:val="28"/>
          <w:szCs w:val="28"/>
        </w:rPr>
        <w:t> </w:t>
      </w:r>
    </w:p>
    <w:p w14:paraId="78EC126E" w14:textId="77777777" w:rsidR="00D30EEA" w:rsidRPr="00D30EEA" w:rsidRDefault="00D52286" w:rsidP="00D30EEA">
      <w:pPr>
        <w:spacing w:after="160" w:line="252" w:lineRule="auto"/>
        <w:rPr>
          <w:rFonts w:ascii="Times New Roman" w:hAnsi="Times New Roman"/>
          <w:b/>
          <w:sz w:val="32"/>
          <w:szCs w:val="32"/>
        </w:rPr>
      </w:pPr>
      <w:r w:rsidRPr="00D30EEA">
        <w:rPr>
          <w:rFonts w:ascii="Times New Roman" w:hAnsi="Times New Roman"/>
          <w:b/>
          <w:bCs/>
          <w:sz w:val="32"/>
          <w:szCs w:val="32"/>
        </w:rPr>
        <w:t xml:space="preserve">ΘΕΜΑ: </w:t>
      </w:r>
      <w:r w:rsidR="00D30EEA" w:rsidRPr="00D30EEA">
        <w:rPr>
          <w:rFonts w:ascii="Times New Roman" w:hAnsi="Times New Roman"/>
          <w:b/>
          <w:sz w:val="32"/>
          <w:szCs w:val="32"/>
        </w:rPr>
        <w:t>Οι έλεγχοι τροφίμων ανήκουν στο ΥπΑΑΤ - Όχι στο νέο θεσμικό πραξικόπημα διάσπασης αρμοδιοτήτων</w:t>
      </w:r>
    </w:p>
    <w:p w14:paraId="138BF66E" w14:textId="77777777" w:rsidR="00D30EEA" w:rsidRPr="00D30EEA" w:rsidRDefault="00D30EEA" w:rsidP="00D30EEA">
      <w:pPr>
        <w:spacing w:after="160" w:line="252" w:lineRule="auto"/>
        <w:rPr>
          <w:rFonts w:ascii="Times New Roman" w:hAnsi="Times New Roman"/>
          <w:b/>
          <w:sz w:val="32"/>
          <w:szCs w:val="32"/>
        </w:rPr>
      </w:pPr>
    </w:p>
    <w:p w14:paraId="7B79A629" w14:textId="77777777" w:rsidR="00D30EEA" w:rsidRPr="00D30EEA" w:rsidRDefault="00D30EEA" w:rsidP="00D30EEA">
      <w:pPr>
        <w:spacing w:after="160" w:line="252" w:lineRule="auto"/>
        <w:jc w:val="both"/>
        <w:rPr>
          <w:rFonts w:ascii="Times New Roman" w:hAnsi="Times New Roman"/>
          <w:sz w:val="32"/>
          <w:szCs w:val="32"/>
        </w:rPr>
      </w:pPr>
      <w:r w:rsidRPr="00D30EEA">
        <w:rPr>
          <w:rFonts w:ascii="Times New Roman" w:hAnsi="Times New Roman"/>
          <w:sz w:val="32"/>
          <w:szCs w:val="32"/>
        </w:rPr>
        <w:t xml:space="preserve">Η ΠΟΓΕΔΥ αφού μελέτησε με ιδιαίτερη προσοχή το πρόσφατο σχέδιο νόμου του ΥπΑΝ «Σύσταση και λειτουργία Ανεξάρτητης Αρχής Εποπτείας της Αγοράς και Προστασίας του Καταναλωτή, ρυθμίσεις για την Επιτροπή Ανταγωνισμού και ίδρυση και λειτουργία λαϊκών αγορών παραγωγών και λοιπές διατάξεις», απευθύνει σήμερα ένα ξεκάθαρο μήνυμα προς κάθε κατεύθυνση: </w:t>
      </w:r>
      <w:r w:rsidRPr="00D30EEA">
        <w:rPr>
          <w:rFonts w:ascii="Times New Roman" w:hAnsi="Times New Roman"/>
          <w:b/>
          <w:bCs/>
          <w:sz w:val="32"/>
          <w:szCs w:val="32"/>
        </w:rPr>
        <w:t>η ασφάλεια των τροφίμων δεν μπορεί να γίνει το πεδίο ενός ακόμη θεσμικού πειραματισμού.</w:t>
      </w:r>
    </w:p>
    <w:p w14:paraId="04E868B0" w14:textId="77777777" w:rsidR="00D30EEA" w:rsidRPr="00D30EEA" w:rsidRDefault="00D30EEA" w:rsidP="00D30EEA">
      <w:pPr>
        <w:spacing w:after="160" w:line="252" w:lineRule="auto"/>
        <w:jc w:val="both"/>
        <w:rPr>
          <w:rFonts w:ascii="Times New Roman" w:hAnsi="Times New Roman"/>
          <w:sz w:val="32"/>
          <w:szCs w:val="32"/>
        </w:rPr>
      </w:pPr>
      <w:r w:rsidRPr="00D30EEA">
        <w:rPr>
          <w:rFonts w:ascii="Times New Roman" w:hAnsi="Times New Roman"/>
          <w:sz w:val="32"/>
          <w:szCs w:val="32"/>
        </w:rPr>
        <w:t>Σε μια περίοδο που η χώρα χρειάζεται σταθερότητα, αξιοπιστία και σοβαρότητα, η απόπειρα μεταφοράς των ελέγχων τροφίμων εκτός του φυσικού τους χώρου συνιστά επικίνδυνη οπισθοδρόμηση.</w:t>
      </w:r>
    </w:p>
    <w:p w14:paraId="6304C9BA" w14:textId="77777777" w:rsidR="00D30EEA" w:rsidRPr="00D30EEA" w:rsidRDefault="00D30EEA" w:rsidP="00D30EEA">
      <w:pPr>
        <w:spacing w:after="160" w:line="252" w:lineRule="auto"/>
        <w:jc w:val="both"/>
        <w:rPr>
          <w:rFonts w:ascii="Times New Roman" w:hAnsi="Times New Roman"/>
          <w:sz w:val="32"/>
          <w:szCs w:val="32"/>
        </w:rPr>
      </w:pPr>
      <w:r w:rsidRPr="00D30EEA">
        <w:rPr>
          <w:rFonts w:ascii="Times New Roman" w:hAnsi="Times New Roman"/>
          <w:sz w:val="32"/>
          <w:szCs w:val="32"/>
        </w:rPr>
        <w:t>Τα τρόφιμα δεν είναι γενικά «εμπορεύματα» αλλά ρυθμίζονται από ειδικό, δεσμευτικό ευρωπαϊκό πλαίσιο, που τα αντιμετωπίζει ως αγαθά που διασφαλίζουν τη δημόσια υγεία, όχι ως παρακολούθημα αγορανομικών ελέγχων. Στη χώρα μας έχει οικοδομηθεί, με βάσει αυτή την ευρωπαϊκή λογική, ένα ενιαίο σύστημα επίσημων ελέγχων που υπακούει σε ενιαίους κανόνες, ενιαία κριτήρια και ενιαίο κυρωτικό πλαίσιο. Όταν επιχειρείται η δημιουργία παράλληλων διαδρομών, πολλαπλών πηγών κυρώσεων και επικαλύψεων αρμοδιοτήτων, το αποτέλεσμα δεν είναι η «απλοποίηση», αλλά η κατάρρευση της συνοχής και της αξιοπιστίας του συστήματος.</w:t>
      </w:r>
    </w:p>
    <w:p w14:paraId="49BBE1B3" w14:textId="77777777" w:rsidR="00D30EEA" w:rsidRPr="00D30EEA" w:rsidRDefault="00D30EEA" w:rsidP="00D30EEA">
      <w:pPr>
        <w:spacing w:after="160" w:line="252" w:lineRule="auto"/>
        <w:jc w:val="both"/>
        <w:rPr>
          <w:rFonts w:ascii="Times New Roman" w:hAnsi="Times New Roman"/>
          <w:sz w:val="32"/>
          <w:szCs w:val="32"/>
        </w:rPr>
      </w:pPr>
      <w:r w:rsidRPr="00D30EEA">
        <w:rPr>
          <w:rFonts w:ascii="Times New Roman" w:hAnsi="Times New Roman"/>
          <w:sz w:val="32"/>
          <w:szCs w:val="32"/>
        </w:rPr>
        <w:t xml:space="preserve">Η διάσπαση των αρμοδιοτήτων σε έναν τομέα όπου απαιτείται ακριβής επιστημονική γνώση, εξειδικευμένο προσωπικό και συμμόρφωση με ευρωπαϊκούς κανόνες δεν συνιστά μεταρρύθμιση. Είναι </w:t>
      </w:r>
      <w:r w:rsidRPr="00D30EEA">
        <w:rPr>
          <w:rFonts w:ascii="Times New Roman" w:hAnsi="Times New Roman"/>
          <w:b/>
          <w:bCs/>
          <w:sz w:val="32"/>
          <w:szCs w:val="32"/>
        </w:rPr>
        <w:t>θεσμική περιπέτεια</w:t>
      </w:r>
      <w:r w:rsidRPr="00D30EEA">
        <w:rPr>
          <w:rFonts w:ascii="Times New Roman" w:hAnsi="Times New Roman"/>
          <w:sz w:val="32"/>
          <w:szCs w:val="32"/>
        </w:rPr>
        <w:t xml:space="preserve"> με άμεσες επιπτώσεις στη δημόσια υγεία, στο εμπόριο, στις εξαγωγές και στη διεθνή εικόνα της χώρας. Μια τέτοια επιλογή δεν προσφέρει κανένα όφελος, δεν </w:t>
      </w:r>
      <w:r w:rsidRPr="00D30EEA">
        <w:rPr>
          <w:rFonts w:ascii="Times New Roman" w:hAnsi="Times New Roman"/>
          <w:sz w:val="32"/>
          <w:szCs w:val="32"/>
        </w:rPr>
        <w:lastRenderedPageBreak/>
        <w:t>λύνει κανένα πραγματικό πρόβλημα, και το μόνο που πετυχαίνει είναι να αποδυναμώνει το μοναδικό συνεκτικό πλαίσιο που διαθέτουμε.</w:t>
      </w:r>
    </w:p>
    <w:p w14:paraId="47CE76E7" w14:textId="77777777" w:rsidR="00D30EEA" w:rsidRPr="00D30EEA" w:rsidRDefault="00D30EEA" w:rsidP="00D30EEA">
      <w:pPr>
        <w:spacing w:after="160" w:line="252" w:lineRule="auto"/>
        <w:jc w:val="both"/>
        <w:rPr>
          <w:rFonts w:ascii="Times New Roman" w:hAnsi="Times New Roman"/>
          <w:sz w:val="32"/>
          <w:szCs w:val="32"/>
        </w:rPr>
      </w:pPr>
      <w:r w:rsidRPr="00D30EEA">
        <w:rPr>
          <w:rFonts w:ascii="Times New Roman" w:hAnsi="Times New Roman"/>
          <w:sz w:val="32"/>
          <w:szCs w:val="32"/>
        </w:rPr>
        <w:t>Η ΠΟΓΕΔΥ τονίζει ότι οι έλεγχοι των τροφίμων πρέπει να παραμείνουν αδιαπραγμάτευτα στον φυσικό τους χώρο, εκεί όπου υπάρχει η τεχνογνωσία, η συνέχεια και η ευθύνη να διασφαλιστεί η ποιότητα και η ασφάλεια των τροφίμων που φτάνουν στον Έλληνα καταναλωτή. Η συζήτηση περί μεταφοράς αρμοδιοτήτων δεν αποτελεί τεχνική επιλογή, είναι πολιτική απόφαση με σοβαρές συνέπειες για τη δημόσια υγεία, την προστασία των παραγωγών, και την αξιοπιστία της χώρας απέναντι στους ευρωπαϊκούς θεσμούς.</w:t>
      </w:r>
    </w:p>
    <w:p w14:paraId="1E9B51AF" w14:textId="77777777" w:rsidR="00CA0B4F" w:rsidRDefault="00D30EEA" w:rsidP="00D30EEA">
      <w:pPr>
        <w:spacing w:after="160" w:line="252" w:lineRule="auto"/>
        <w:jc w:val="both"/>
        <w:rPr>
          <w:rFonts w:ascii="Times New Roman" w:hAnsi="Times New Roman"/>
          <w:sz w:val="32"/>
          <w:szCs w:val="32"/>
          <w:lang w:val="en-US"/>
        </w:rPr>
      </w:pPr>
      <w:r w:rsidRPr="00D30EEA">
        <w:rPr>
          <w:rFonts w:ascii="Times New Roman" w:hAnsi="Times New Roman"/>
          <w:sz w:val="32"/>
          <w:szCs w:val="32"/>
        </w:rPr>
        <w:t>Στο κρίσιμο αυτό σταυροδρόμι, η ΠΟΓΕΔΥ καλεί την κυβέρνηση να μην υποκύψει σε λογικές διοικητικής «αναδιάταξης» που εξυπηρετούν επικοινωνιακές ανάγκες και όχι το δημόσιο συμφέρον.</w:t>
      </w:r>
      <w:r w:rsidRPr="00D30EEA">
        <w:rPr>
          <w:rFonts w:ascii="Times New Roman" w:hAnsi="Times New Roman"/>
          <w:sz w:val="32"/>
          <w:szCs w:val="32"/>
        </w:rPr>
        <w:br/>
        <w:t>Το μήνυμα είναι σαφές:</w:t>
      </w:r>
      <w:r w:rsidR="00CA0B4F" w:rsidRPr="00CA0B4F">
        <w:rPr>
          <w:rFonts w:ascii="Times New Roman" w:hAnsi="Times New Roman"/>
          <w:sz w:val="32"/>
          <w:szCs w:val="32"/>
        </w:rPr>
        <w:t xml:space="preserve"> </w:t>
      </w:r>
    </w:p>
    <w:p w14:paraId="56B464D1" w14:textId="5B246749" w:rsidR="00D30EEA" w:rsidRDefault="00D30EEA" w:rsidP="00D30EEA">
      <w:pPr>
        <w:spacing w:after="160" w:line="252" w:lineRule="auto"/>
        <w:jc w:val="both"/>
        <w:rPr>
          <w:rFonts w:ascii="Times New Roman" w:hAnsi="Times New Roman"/>
          <w:b/>
          <w:bCs/>
          <w:sz w:val="32"/>
          <w:szCs w:val="32"/>
        </w:rPr>
      </w:pPr>
      <w:r w:rsidRPr="00D30EEA">
        <w:rPr>
          <w:rFonts w:ascii="Times New Roman" w:hAnsi="Times New Roman"/>
          <w:b/>
          <w:bCs/>
          <w:sz w:val="32"/>
          <w:szCs w:val="32"/>
        </w:rPr>
        <w:t>Η ασφάλεια τροφίμων δεν σηκώνει πραξικοπήματα αρμοδιοτήτων.</w:t>
      </w:r>
      <w:r w:rsidRPr="00D30EEA">
        <w:rPr>
          <w:rFonts w:ascii="Times New Roman" w:hAnsi="Times New Roman"/>
          <w:b/>
          <w:bCs/>
          <w:sz w:val="32"/>
          <w:szCs w:val="32"/>
        </w:rPr>
        <w:br/>
        <w:t>Οι έλεγχοι ανήκουν στον φυσικό τους χώρο και εκεί πρέπει να παραμείνουν.</w:t>
      </w:r>
    </w:p>
    <w:p w14:paraId="618C8B27" w14:textId="77777777" w:rsidR="00D30EEA" w:rsidRDefault="00D30EEA" w:rsidP="00D30EEA">
      <w:pPr>
        <w:spacing w:after="160" w:line="252" w:lineRule="auto"/>
        <w:jc w:val="both"/>
        <w:rPr>
          <w:rFonts w:ascii="Times New Roman" w:hAnsi="Times New Roman"/>
          <w:b/>
          <w:bCs/>
          <w:sz w:val="32"/>
          <w:szCs w:val="32"/>
        </w:rPr>
      </w:pPr>
    </w:p>
    <w:p w14:paraId="67C34037" w14:textId="77777777" w:rsidR="00D30EEA" w:rsidRPr="00D30EEA" w:rsidRDefault="00D30EEA" w:rsidP="00D30EEA">
      <w:pPr>
        <w:spacing w:after="160" w:line="252" w:lineRule="auto"/>
        <w:jc w:val="both"/>
        <w:rPr>
          <w:rFonts w:ascii="Times New Roman" w:hAnsi="Times New Roman"/>
          <w:sz w:val="32"/>
          <w:szCs w:val="32"/>
        </w:rPr>
      </w:pPr>
    </w:p>
    <w:p w14:paraId="48837125" w14:textId="77777777"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hAnsi="Times New Roman"/>
          <w:noProof/>
          <w:sz w:val="32"/>
          <w:szCs w:val="32"/>
          <w:lang w:eastAsia="el-GR"/>
        </w:rPr>
        <w:drawing>
          <wp:anchor distT="0" distB="0" distL="114300" distR="114300" simplePos="0" relativeHeight="251658240" behindDoc="0" locked="0" layoutInCell="1" allowOverlap="1" wp14:anchorId="7598793F" wp14:editId="757059CC">
            <wp:simplePos x="0" y="0"/>
            <wp:positionH relativeFrom="margin">
              <wp:posOffset>3983990</wp:posOffset>
            </wp:positionH>
            <wp:positionV relativeFrom="margin">
              <wp:posOffset>5892165</wp:posOffset>
            </wp:positionV>
            <wp:extent cx="1581150" cy="140970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409700"/>
                    </a:xfrm>
                    <a:prstGeom prst="rect">
                      <a:avLst/>
                    </a:prstGeom>
                    <a:noFill/>
                    <a:ln>
                      <a:noFill/>
                    </a:ln>
                  </pic:spPr>
                </pic:pic>
              </a:graphicData>
            </a:graphic>
          </wp:anchor>
        </w:drawing>
      </w:r>
      <w:r w:rsidRPr="00D30EEA">
        <w:rPr>
          <w:rFonts w:ascii="Times New Roman" w:eastAsia="Times New Roman" w:hAnsi="Times New Roman"/>
          <w:color w:val="222222"/>
          <w:sz w:val="32"/>
          <w:szCs w:val="32"/>
          <w:lang w:eastAsia="el-GR"/>
        </w:rPr>
        <w:t xml:space="preserve">                                                                          </w:t>
      </w:r>
      <w:r w:rsidR="00842E46" w:rsidRPr="003109EC">
        <w:rPr>
          <w:rFonts w:ascii="Times New Roman" w:hAnsi="Times New Roman"/>
          <w:b/>
          <w:bCs/>
          <w:sz w:val="28"/>
          <w:szCs w:val="28"/>
        </w:rPr>
        <w:t>Για  το  Δ.Σ.</w:t>
      </w:r>
      <w:r w:rsidR="004227E0" w:rsidRPr="004227E0">
        <w:rPr>
          <w:noProof/>
          <w:szCs w:val="28"/>
          <w:lang w:eastAsia="el-GR"/>
        </w:rPr>
        <w:t xml:space="preserve"> </w:t>
      </w:r>
    </w:p>
    <w:sectPr w:rsidR="00842E46" w:rsidRPr="004227E0" w:rsidSect="009A7EC7">
      <w:pgSz w:w="11906" w:h="16838"/>
      <w:pgMar w:top="426" w:right="849"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246114394">
    <w:abstractNumId w:val="0"/>
  </w:num>
  <w:num w:numId="2" w16cid:durableId="1443111839">
    <w:abstractNumId w:val="17"/>
  </w:num>
  <w:num w:numId="3" w16cid:durableId="544411662">
    <w:abstractNumId w:val="12"/>
  </w:num>
  <w:num w:numId="4" w16cid:durableId="1577206948">
    <w:abstractNumId w:val="13"/>
  </w:num>
  <w:num w:numId="5" w16cid:durableId="1191378962">
    <w:abstractNumId w:val="16"/>
  </w:num>
  <w:num w:numId="6" w16cid:durableId="1707173993">
    <w:abstractNumId w:val="15"/>
  </w:num>
  <w:num w:numId="7" w16cid:durableId="1221331360">
    <w:abstractNumId w:val="6"/>
  </w:num>
  <w:num w:numId="8" w16cid:durableId="433747247">
    <w:abstractNumId w:val="14"/>
  </w:num>
  <w:num w:numId="9" w16cid:durableId="1779182711">
    <w:abstractNumId w:val="3"/>
  </w:num>
  <w:num w:numId="10" w16cid:durableId="581985208">
    <w:abstractNumId w:val="18"/>
  </w:num>
  <w:num w:numId="11" w16cid:durableId="942037809">
    <w:abstractNumId w:val="2"/>
  </w:num>
  <w:num w:numId="12" w16cid:durableId="370614414">
    <w:abstractNumId w:val="1"/>
  </w:num>
  <w:num w:numId="13" w16cid:durableId="368576720">
    <w:abstractNumId w:val="9"/>
  </w:num>
  <w:num w:numId="14" w16cid:durableId="770970438">
    <w:abstractNumId w:val="11"/>
  </w:num>
  <w:num w:numId="15" w16cid:durableId="101612663">
    <w:abstractNumId w:val="5"/>
  </w:num>
  <w:num w:numId="16" w16cid:durableId="1310205182">
    <w:abstractNumId w:val="10"/>
  </w:num>
  <w:num w:numId="17" w16cid:durableId="437988885">
    <w:abstractNumId w:val="8"/>
  </w:num>
  <w:num w:numId="18" w16cid:durableId="69693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057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7531B"/>
    <w:rsid w:val="002778C0"/>
    <w:rsid w:val="002B0CEE"/>
    <w:rsid w:val="002D315C"/>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7E0"/>
    <w:rsid w:val="00445A88"/>
    <w:rsid w:val="004460CE"/>
    <w:rsid w:val="00454FAC"/>
    <w:rsid w:val="00455915"/>
    <w:rsid w:val="00455ED4"/>
    <w:rsid w:val="00490F12"/>
    <w:rsid w:val="00491DD6"/>
    <w:rsid w:val="00495EA0"/>
    <w:rsid w:val="004A27D5"/>
    <w:rsid w:val="004B0A48"/>
    <w:rsid w:val="004B2B6C"/>
    <w:rsid w:val="004B4C8A"/>
    <w:rsid w:val="004C60ED"/>
    <w:rsid w:val="004F3D57"/>
    <w:rsid w:val="005054EA"/>
    <w:rsid w:val="00513CEF"/>
    <w:rsid w:val="00543079"/>
    <w:rsid w:val="0057520D"/>
    <w:rsid w:val="005A44F1"/>
    <w:rsid w:val="005B2F89"/>
    <w:rsid w:val="005D323E"/>
    <w:rsid w:val="005E0A32"/>
    <w:rsid w:val="005E52F3"/>
    <w:rsid w:val="005F1CC2"/>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6329"/>
    <w:rsid w:val="008278C0"/>
    <w:rsid w:val="00835764"/>
    <w:rsid w:val="008371F7"/>
    <w:rsid w:val="00842E46"/>
    <w:rsid w:val="00850CA4"/>
    <w:rsid w:val="0085391A"/>
    <w:rsid w:val="0085510B"/>
    <w:rsid w:val="008577CD"/>
    <w:rsid w:val="00866852"/>
    <w:rsid w:val="00883FFE"/>
    <w:rsid w:val="008A650B"/>
    <w:rsid w:val="008B142B"/>
    <w:rsid w:val="008B5FBD"/>
    <w:rsid w:val="008B683E"/>
    <w:rsid w:val="008C415C"/>
    <w:rsid w:val="008D3BDD"/>
    <w:rsid w:val="008F1460"/>
    <w:rsid w:val="008F2973"/>
    <w:rsid w:val="008F4B7A"/>
    <w:rsid w:val="0091249C"/>
    <w:rsid w:val="009157AA"/>
    <w:rsid w:val="00934A88"/>
    <w:rsid w:val="00937ED3"/>
    <w:rsid w:val="00947421"/>
    <w:rsid w:val="009475B9"/>
    <w:rsid w:val="00947EF5"/>
    <w:rsid w:val="00956609"/>
    <w:rsid w:val="009647F7"/>
    <w:rsid w:val="00972571"/>
    <w:rsid w:val="00975546"/>
    <w:rsid w:val="009869A5"/>
    <w:rsid w:val="009875DA"/>
    <w:rsid w:val="00987A30"/>
    <w:rsid w:val="009A7EC7"/>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5378"/>
    <w:rsid w:val="00C9076F"/>
    <w:rsid w:val="00CA0B4F"/>
    <w:rsid w:val="00CB169D"/>
    <w:rsid w:val="00CC1249"/>
    <w:rsid w:val="00CD4153"/>
    <w:rsid w:val="00CE65BE"/>
    <w:rsid w:val="00CF1FF3"/>
    <w:rsid w:val="00CF5F48"/>
    <w:rsid w:val="00D06529"/>
    <w:rsid w:val="00D115EA"/>
    <w:rsid w:val="00D13C4D"/>
    <w:rsid w:val="00D156A8"/>
    <w:rsid w:val="00D23191"/>
    <w:rsid w:val="00D23346"/>
    <w:rsid w:val="00D30EEA"/>
    <w:rsid w:val="00D3260A"/>
    <w:rsid w:val="00D4596D"/>
    <w:rsid w:val="00D52286"/>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C007D"/>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89FF"/>
  <w15:docId w15:val="{C7AC7AA9-AE72-42EB-B36F-A3BA9758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4A8F-CAAF-4E03-B696-480A6C69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2508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3</cp:revision>
  <cp:lastPrinted>2022-11-28T09:18:00Z</cp:lastPrinted>
  <dcterms:created xsi:type="dcterms:W3CDTF">2025-11-24T16:27:00Z</dcterms:created>
  <dcterms:modified xsi:type="dcterms:W3CDTF">2025-11-24T16:27:00Z</dcterms:modified>
</cp:coreProperties>
</file>