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Αθήνα</w:t>
      </w:r>
      <w:r w:rsidR="00B5232D">
        <w:rPr>
          <w:rFonts w:ascii="Times New Roman" w:hAnsi="Times New Roman"/>
          <w:b/>
          <w:bCs/>
          <w:sz w:val="28"/>
          <w:szCs w:val="28"/>
        </w:rPr>
        <w:t xml:space="preserve"> 2</w:t>
      </w:r>
      <w:r w:rsidR="0039556B" w:rsidRPr="009C7ABD">
        <w:rPr>
          <w:rFonts w:ascii="Times New Roman" w:hAnsi="Times New Roman"/>
          <w:b/>
          <w:bCs/>
          <w:sz w:val="28"/>
          <w:szCs w:val="28"/>
        </w:rPr>
        <w:t>0-</w:t>
      </w:r>
      <w:r w:rsidR="00084B19">
        <w:rPr>
          <w:rFonts w:ascii="Times New Roman" w:hAnsi="Times New Roman"/>
          <w:b/>
          <w:bCs/>
          <w:sz w:val="28"/>
          <w:szCs w:val="28"/>
        </w:rPr>
        <w:t>10</w:t>
      </w:r>
      <w:r w:rsidRPr="00A73A7C">
        <w:rPr>
          <w:rFonts w:ascii="Times New Roman" w:hAnsi="Times New Roman"/>
          <w:b/>
          <w:bCs/>
          <w:sz w:val="28"/>
          <w:szCs w:val="28"/>
        </w:rPr>
        <w:t>-20</w:t>
      </w:r>
      <w:r w:rsidR="00490F12">
        <w:rPr>
          <w:rFonts w:ascii="Times New Roman" w:hAnsi="Times New Roman"/>
          <w:b/>
          <w:bCs/>
          <w:sz w:val="28"/>
          <w:szCs w:val="28"/>
        </w:rPr>
        <w:t>25</w:t>
      </w:r>
    </w:p>
    <w:p w:rsidR="000C7053" w:rsidRPr="009C7ABD"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E26B4E" w:rsidRDefault="00E26B4E" w:rsidP="000C7053">
      <w:pPr>
        <w:ind w:left="709" w:hanging="709"/>
        <w:jc w:val="center"/>
        <w:rPr>
          <w:rFonts w:ascii="Times New Roman" w:hAnsi="Times New Roman"/>
          <w:b/>
          <w:bCs/>
          <w:sz w:val="8"/>
          <w:szCs w:val="8"/>
        </w:rPr>
      </w:pPr>
    </w:p>
    <w:p w:rsidR="0039556B" w:rsidRPr="00862492" w:rsidRDefault="003612F7" w:rsidP="0039556B">
      <w:pPr>
        <w:spacing w:after="160" w:line="252" w:lineRule="auto"/>
        <w:jc w:val="both"/>
        <w:rPr>
          <w:rFonts w:ascii="Times New Roman" w:hAnsi="Times New Roman"/>
          <w:sz w:val="32"/>
          <w:szCs w:val="32"/>
        </w:rPr>
      </w:pPr>
      <w:r w:rsidRPr="003612F7">
        <w:rPr>
          <w:rFonts w:ascii="Times New Roman" w:hAnsi="Times New Roman"/>
          <w:b/>
          <w:bCs/>
          <w:sz w:val="28"/>
          <w:szCs w:val="28"/>
        </w:rPr>
        <w:t>ΘΕΜΑ:</w:t>
      </w:r>
      <w:r w:rsidR="009C7ABD" w:rsidRPr="009C7ABD">
        <w:rPr>
          <w:rFonts w:ascii="Times New Roman" w:hAnsi="Times New Roman"/>
          <w:b/>
          <w:bCs/>
          <w:sz w:val="28"/>
          <w:szCs w:val="28"/>
        </w:rPr>
        <w:t xml:space="preserve"> </w:t>
      </w:r>
      <w:r w:rsidR="0039556B" w:rsidRPr="00862492">
        <w:rPr>
          <w:rFonts w:ascii="Times New Roman" w:hAnsi="Times New Roman"/>
          <w:iCs/>
          <w:sz w:val="32"/>
          <w:szCs w:val="32"/>
        </w:rPr>
        <w:t xml:space="preserve">Αναπάντητη η επιστολή του ΣΕΠΕ προς το </w:t>
      </w:r>
      <w:proofErr w:type="spellStart"/>
      <w:r w:rsidR="0039556B" w:rsidRPr="00862492">
        <w:rPr>
          <w:rFonts w:ascii="Times New Roman" w:hAnsi="Times New Roman"/>
          <w:iCs/>
          <w:sz w:val="32"/>
          <w:szCs w:val="32"/>
        </w:rPr>
        <w:t>ΥπΑΑΤ</w:t>
      </w:r>
      <w:proofErr w:type="spellEnd"/>
      <w:r w:rsidR="0039556B" w:rsidRPr="00862492">
        <w:rPr>
          <w:rFonts w:ascii="Times New Roman" w:hAnsi="Times New Roman"/>
          <w:iCs/>
          <w:sz w:val="32"/>
          <w:szCs w:val="32"/>
        </w:rPr>
        <w:t xml:space="preserve"> – Η ευλογιά ως άλλοθι και η σιωπή ως διοίκηση;</w:t>
      </w:r>
    </w:p>
    <w:p w:rsidR="003612F7" w:rsidRPr="00862492" w:rsidRDefault="003612F7" w:rsidP="0039556B">
      <w:pPr>
        <w:spacing w:after="160" w:line="254" w:lineRule="auto"/>
        <w:jc w:val="both"/>
        <w:rPr>
          <w:rFonts w:ascii="Times New Roman" w:hAnsi="Times New Roman"/>
          <w:sz w:val="32"/>
          <w:szCs w:val="32"/>
        </w:rPr>
      </w:pPr>
      <w:r w:rsidRPr="00862492">
        <w:rPr>
          <w:rFonts w:ascii="Times New Roman" w:hAnsi="Times New Roman"/>
          <w:sz w:val="32"/>
          <w:szCs w:val="32"/>
        </w:rPr>
        <w:t> </w:t>
      </w:r>
    </w:p>
    <w:p w:rsidR="009C7ABD" w:rsidRPr="009C7ABD" w:rsidRDefault="0039556B" w:rsidP="009C7ABD">
      <w:pPr>
        <w:spacing w:after="120" w:line="300" w:lineRule="auto"/>
        <w:jc w:val="both"/>
        <w:rPr>
          <w:rFonts w:ascii="Times New Roman" w:hAnsi="Times New Roman"/>
          <w:sz w:val="32"/>
          <w:szCs w:val="32"/>
        </w:rPr>
      </w:pPr>
      <w:r w:rsidRPr="00862492">
        <w:rPr>
          <w:rFonts w:ascii="Times New Roman" w:hAnsi="Times New Roman"/>
          <w:sz w:val="32"/>
          <w:szCs w:val="32"/>
        </w:rPr>
        <w:t xml:space="preserve">Η ΠΟΓΕΔΥ, σε συνέχεια </w:t>
      </w:r>
      <w:hyperlink r:id="rId6" w:history="1">
        <w:r w:rsidRPr="00A02B5A">
          <w:rPr>
            <w:rStyle w:val="-"/>
            <w:rFonts w:ascii="Times New Roman" w:hAnsi="Times New Roman"/>
            <w:sz w:val="32"/>
            <w:szCs w:val="32"/>
          </w:rPr>
          <w:t>της επιστολής της προς το Σώμα Επιθεώρησης Εργασίας (ΣΕΠΕ)</w:t>
        </w:r>
      </w:hyperlink>
      <w:r w:rsidRPr="00862492">
        <w:rPr>
          <w:rFonts w:ascii="Times New Roman" w:hAnsi="Times New Roman"/>
          <w:sz w:val="32"/>
          <w:szCs w:val="32"/>
        </w:rPr>
        <w:t xml:space="preserve"> και των ενεργειών που αυτό άμεσα δρομολόγησε ζητώντας τις απόψεις του Υπουργείου Αγροτικής Ανάπτυξης και Τροφίμων έως τα μέσα Σεπτεμβρίου, </w:t>
      </w:r>
      <w:r w:rsidR="009C7ABD">
        <w:rPr>
          <w:rFonts w:ascii="Times New Roman" w:hAnsi="Times New Roman"/>
          <w:sz w:val="32"/>
          <w:szCs w:val="32"/>
        </w:rPr>
        <w:t>εκφράζει δημόσια την απορία και</w:t>
      </w:r>
      <w:r w:rsidR="009C7ABD" w:rsidRPr="009C7ABD">
        <w:rPr>
          <w:rFonts w:ascii="Times New Roman" w:hAnsi="Times New Roman"/>
          <w:sz w:val="32"/>
          <w:szCs w:val="32"/>
        </w:rPr>
        <w:t xml:space="preserve">  </w:t>
      </w:r>
      <w:r w:rsidR="009C7ABD">
        <w:rPr>
          <w:rFonts w:ascii="Times New Roman" w:hAnsi="Times New Roman"/>
          <w:sz w:val="32"/>
          <w:szCs w:val="32"/>
        </w:rPr>
        <w:t>τον προβληματισμό της:</w:t>
      </w:r>
    </w:p>
    <w:p w:rsidR="0039556B" w:rsidRPr="009C7ABD" w:rsidRDefault="0039556B" w:rsidP="009C7ABD">
      <w:pPr>
        <w:spacing w:after="120" w:line="300" w:lineRule="auto"/>
        <w:jc w:val="both"/>
        <w:rPr>
          <w:rFonts w:ascii="Times New Roman" w:hAnsi="Times New Roman"/>
          <w:sz w:val="32"/>
          <w:szCs w:val="32"/>
        </w:rPr>
      </w:pPr>
      <w:r w:rsidRPr="00862492">
        <w:rPr>
          <w:rFonts w:ascii="Times New Roman" w:hAnsi="Times New Roman"/>
          <w:sz w:val="32"/>
          <w:szCs w:val="32"/>
        </w:rPr>
        <w:t xml:space="preserve">Γιατί, μέχρι σήμερα, το </w:t>
      </w:r>
      <w:proofErr w:type="spellStart"/>
      <w:r w:rsidRPr="00862492">
        <w:rPr>
          <w:rFonts w:ascii="Times New Roman" w:hAnsi="Times New Roman"/>
          <w:sz w:val="32"/>
          <w:szCs w:val="32"/>
        </w:rPr>
        <w:t>ΥπΑΑΤ</w:t>
      </w:r>
      <w:proofErr w:type="spellEnd"/>
      <w:r w:rsidRPr="00862492">
        <w:rPr>
          <w:rFonts w:ascii="Times New Roman" w:hAnsi="Times New Roman"/>
          <w:sz w:val="32"/>
          <w:szCs w:val="32"/>
        </w:rPr>
        <w:t xml:space="preserve"> δεν έχει απαντήσει;</w:t>
      </w:r>
    </w:p>
    <w:p w:rsidR="0039556B" w:rsidRPr="00862492" w:rsidRDefault="0039556B" w:rsidP="0039556B">
      <w:pPr>
        <w:spacing w:after="120" w:line="300" w:lineRule="auto"/>
        <w:jc w:val="both"/>
        <w:rPr>
          <w:rFonts w:ascii="Times New Roman" w:hAnsi="Times New Roman"/>
          <w:sz w:val="32"/>
          <w:szCs w:val="32"/>
        </w:rPr>
      </w:pPr>
      <w:r w:rsidRPr="00862492">
        <w:rPr>
          <w:rFonts w:ascii="Times New Roman" w:hAnsi="Times New Roman"/>
          <w:sz w:val="32"/>
          <w:szCs w:val="32"/>
        </w:rPr>
        <w:t xml:space="preserve">Η επίσημη δικαιολογία ότι </w:t>
      </w:r>
      <w:r w:rsidRPr="00862492">
        <w:rPr>
          <w:rFonts w:ascii="Times New Roman" w:hAnsi="Times New Roman"/>
          <w:i/>
          <w:iCs/>
          <w:sz w:val="32"/>
          <w:szCs w:val="32"/>
        </w:rPr>
        <w:t>«το Υπουργείο ασχολείται με την ευλογιά»</w:t>
      </w:r>
      <w:r w:rsidRPr="00862492">
        <w:rPr>
          <w:rFonts w:ascii="Times New Roman" w:hAnsi="Times New Roman"/>
          <w:sz w:val="32"/>
          <w:szCs w:val="32"/>
        </w:rPr>
        <w:t xml:space="preserve"> δεν μπορεί να σταθεί ούτε ως νομικό επιχείρημα ούτε ως διοικητική αιτιολόγηση.</w:t>
      </w:r>
      <w:r w:rsidRPr="00862492">
        <w:rPr>
          <w:rFonts w:ascii="Times New Roman" w:hAnsi="Times New Roman"/>
          <w:sz w:val="32"/>
          <w:szCs w:val="32"/>
        </w:rPr>
        <w:br/>
        <w:t xml:space="preserve">Η διαχείριση της ευλογιάς, την οποία σύμφωνα με πληθώρα δημοσιευμάτων έχει αναλάβει το σύνολο της πολιτικής ηγεσίας του </w:t>
      </w:r>
      <w:proofErr w:type="spellStart"/>
      <w:r w:rsidRPr="00862492">
        <w:rPr>
          <w:rFonts w:ascii="Times New Roman" w:hAnsi="Times New Roman"/>
          <w:sz w:val="32"/>
          <w:szCs w:val="32"/>
        </w:rPr>
        <w:t>ΥπΑΑΤ</w:t>
      </w:r>
      <w:proofErr w:type="spellEnd"/>
      <w:r w:rsidRPr="00862492">
        <w:rPr>
          <w:rFonts w:ascii="Times New Roman" w:hAnsi="Times New Roman"/>
          <w:sz w:val="32"/>
          <w:szCs w:val="32"/>
        </w:rPr>
        <w:t xml:space="preserve">, φτάνοντας μέχρι και τον Αντιπρόεδρο της Κυβέρνησης, δεν μπορεί να αποτελεί άλλοθι για τη μη ανταπόκριση σε ένα θεσμικό αίτημα ελέγχου. Εξάλλου, κρίνοντας από τη διαχείριση της ευλογιάς, όπως λέει σοφά ο λαός μας, «όπου λαλούν πολλά κοκόρια, αργεί να ξημερώσει» και στο </w:t>
      </w:r>
      <w:proofErr w:type="spellStart"/>
      <w:r w:rsidRPr="00862492">
        <w:rPr>
          <w:rFonts w:ascii="Times New Roman" w:hAnsi="Times New Roman"/>
          <w:sz w:val="32"/>
          <w:szCs w:val="32"/>
        </w:rPr>
        <w:t>ΥπΑΑΤ</w:t>
      </w:r>
      <w:proofErr w:type="spellEnd"/>
      <w:r w:rsidRPr="00862492">
        <w:rPr>
          <w:rFonts w:ascii="Times New Roman" w:hAnsi="Times New Roman"/>
          <w:sz w:val="32"/>
          <w:szCs w:val="32"/>
        </w:rPr>
        <w:t xml:space="preserve"> η αυγή της λογοδοσίας φαίνεται να καθυστερεί επικίνδυνα.</w:t>
      </w:r>
    </w:p>
    <w:p w:rsidR="0039556B" w:rsidRPr="00862492" w:rsidRDefault="0039556B" w:rsidP="0039556B">
      <w:pPr>
        <w:spacing w:after="120" w:line="300" w:lineRule="auto"/>
        <w:jc w:val="both"/>
        <w:rPr>
          <w:rFonts w:ascii="Times New Roman" w:hAnsi="Times New Roman"/>
          <w:sz w:val="32"/>
          <w:szCs w:val="32"/>
        </w:rPr>
      </w:pPr>
      <w:r w:rsidRPr="00862492">
        <w:rPr>
          <w:rFonts w:ascii="Times New Roman" w:hAnsi="Times New Roman"/>
          <w:sz w:val="32"/>
          <w:szCs w:val="32"/>
        </w:rPr>
        <w:t xml:space="preserve">Την ίδια στιγμή, οι έλεγχοι στη βιολογική μελισσοκομία έχουν ολοκληρωθεί, γεγονός που καθιστά αβάσιμη κάθε επίκληση φόρτου </w:t>
      </w:r>
      <w:r w:rsidRPr="00862492">
        <w:rPr>
          <w:rFonts w:ascii="Times New Roman" w:hAnsi="Times New Roman"/>
          <w:sz w:val="32"/>
          <w:szCs w:val="32"/>
        </w:rPr>
        <w:lastRenderedPageBreak/>
        <w:t>εργασίας ή “επιφυλακής για το απρόοπτο”. Εύλογα τίθεται το ερώτημα: περίμεναν μήπως να συμβεί κάποιο “ατύχημα” για να δικαιολογήσουν τα αδικαιολόγητα;</w:t>
      </w:r>
    </w:p>
    <w:p w:rsidR="0039556B" w:rsidRPr="00862492" w:rsidRDefault="0039556B" w:rsidP="0039556B">
      <w:pPr>
        <w:spacing w:after="120" w:line="300" w:lineRule="auto"/>
        <w:jc w:val="both"/>
        <w:rPr>
          <w:rFonts w:ascii="Times New Roman" w:hAnsi="Times New Roman"/>
          <w:sz w:val="32"/>
          <w:szCs w:val="32"/>
        </w:rPr>
      </w:pPr>
      <w:r w:rsidRPr="00862492">
        <w:rPr>
          <w:rFonts w:ascii="Times New Roman" w:hAnsi="Times New Roman"/>
          <w:sz w:val="32"/>
          <w:szCs w:val="32"/>
        </w:rPr>
        <w:t xml:space="preserve">Παρόλα αυτά προκαλεί εντύπωση το γεγονός ότι τόσο η κα Υπηρεσιακή Γραμματέας, η οποία ουδεμία εμπλοκή έχει με την ευλογιά και ο κ. Γενικός Γραμματέας, που επίσης δεν ασχολείται αποκλειστικά με αυτήν, όσο και οι λοιποί υπηρεσιακοί παράγοντες στους οποίους μεταβιβάστηκε η οποία ευθύνη και δεν έχουν σχέση με την επιζωοτία, δεν κατέστη δυνατό να βρούνε τον χρόνο να απαντήσουν στο ΣΕΠΕ. Η ΠΟΓΕΔΥ δεν θέλει να αποδεχτεί ότι το </w:t>
      </w:r>
      <w:proofErr w:type="spellStart"/>
      <w:r w:rsidRPr="00862492">
        <w:rPr>
          <w:rFonts w:ascii="Times New Roman" w:hAnsi="Times New Roman"/>
          <w:sz w:val="32"/>
          <w:szCs w:val="32"/>
        </w:rPr>
        <w:t>ΥπΑΑΤ</w:t>
      </w:r>
      <w:proofErr w:type="spellEnd"/>
      <w:r w:rsidRPr="00862492">
        <w:rPr>
          <w:rFonts w:ascii="Times New Roman" w:hAnsi="Times New Roman"/>
          <w:sz w:val="32"/>
          <w:szCs w:val="32"/>
        </w:rPr>
        <w:t xml:space="preserve"> εμπαίζει έναν θεσμικό ελεγκτικό μηχανισμό.</w:t>
      </w:r>
    </w:p>
    <w:p w:rsidR="0039556B" w:rsidRPr="00862492" w:rsidRDefault="0039556B" w:rsidP="0039556B">
      <w:pPr>
        <w:spacing w:after="120" w:line="300" w:lineRule="auto"/>
        <w:jc w:val="both"/>
        <w:rPr>
          <w:rFonts w:ascii="Times New Roman" w:hAnsi="Times New Roman"/>
          <w:sz w:val="32"/>
          <w:szCs w:val="32"/>
        </w:rPr>
      </w:pPr>
      <w:r w:rsidRPr="00862492">
        <w:rPr>
          <w:rFonts w:ascii="Times New Roman" w:hAnsi="Times New Roman"/>
          <w:sz w:val="32"/>
          <w:szCs w:val="32"/>
        </w:rPr>
        <w:t xml:space="preserve">Την ώρα που η ΠΟΓΕΔΥ, με θεσμική υπευθυνότητα, υποκαθιστά εκ των πραγμάτων τους ανενεργούς μηχανισμούς του </w:t>
      </w:r>
      <w:proofErr w:type="spellStart"/>
      <w:r w:rsidRPr="00862492">
        <w:rPr>
          <w:rFonts w:ascii="Times New Roman" w:hAnsi="Times New Roman"/>
          <w:sz w:val="32"/>
          <w:szCs w:val="32"/>
        </w:rPr>
        <w:t>ΥπΑΑΤ</w:t>
      </w:r>
      <w:proofErr w:type="spellEnd"/>
      <w:r w:rsidRPr="00862492">
        <w:rPr>
          <w:rFonts w:ascii="Times New Roman" w:hAnsi="Times New Roman"/>
          <w:sz w:val="32"/>
          <w:szCs w:val="32"/>
        </w:rPr>
        <w:t>, παρεμβαίνοντας για να στηρίξει συναδέλφους και υπηρεσίες (χαρακτηριστικά με την πρόσφατη επίσημη επίσκεψη προς την Αστυνομική Διεύθυνση Ηρακλείου για συνδρομή στους ελέγχους), η πολιτική και υπηρεσιακή ηγεσία του Υπουργείου φαίνεται να έχει επιλέξει τη σιωπή και την αδράνεια ως μέθοδο “διοίκησης”.</w:t>
      </w:r>
    </w:p>
    <w:p w:rsidR="00490F12" w:rsidRPr="00862492" w:rsidRDefault="0039556B" w:rsidP="00862492">
      <w:pPr>
        <w:spacing w:after="120" w:line="300" w:lineRule="auto"/>
        <w:jc w:val="both"/>
        <w:rPr>
          <w:rFonts w:ascii="Times New Roman" w:hAnsi="Times New Roman"/>
          <w:b/>
          <w:sz w:val="32"/>
          <w:szCs w:val="32"/>
        </w:rPr>
      </w:pPr>
      <w:r w:rsidRPr="00862492">
        <w:rPr>
          <w:rFonts w:ascii="Times New Roman" w:hAnsi="Times New Roman"/>
          <w:sz w:val="32"/>
          <w:szCs w:val="32"/>
        </w:rPr>
        <w:t xml:space="preserve">Η ΠΟΓΕΔΥ καλεί το </w:t>
      </w:r>
      <w:proofErr w:type="spellStart"/>
      <w:r w:rsidRPr="00862492">
        <w:rPr>
          <w:rFonts w:ascii="Times New Roman" w:hAnsi="Times New Roman"/>
          <w:sz w:val="32"/>
          <w:szCs w:val="32"/>
        </w:rPr>
        <w:t>ΥπΑΑΤ</w:t>
      </w:r>
      <w:proofErr w:type="spellEnd"/>
      <w:r w:rsidRPr="00862492">
        <w:rPr>
          <w:rFonts w:ascii="Times New Roman" w:hAnsi="Times New Roman"/>
          <w:sz w:val="32"/>
          <w:szCs w:val="32"/>
        </w:rPr>
        <w:t xml:space="preserve"> να δώσει άμεσα εξηγήσεις στο ΣΕΠΕ, τηρώντας τις προβλεπόμενες από τον νόμο προθεσμίες και να αποδείξει ότι δεν τελεί υπό καθεστώς διοικητικής αναρχίας. Διαφορετικά, η </w:t>
      </w:r>
      <w:r w:rsidRPr="00862492">
        <w:rPr>
          <w:rFonts w:ascii="Times New Roman" w:hAnsi="Times New Roman"/>
          <w:b/>
          <w:bCs/>
          <w:sz w:val="32"/>
          <w:szCs w:val="32"/>
        </w:rPr>
        <w:t>παράλειψη απάντησης</w:t>
      </w:r>
      <w:r w:rsidRPr="00862492">
        <w:rPr>
          <w:rFonts w:ascii="Times New Roman" w:hAnsi="Times New Roman"/>
          <w:sz w:val="32"/>
          <w:szCs w:val="32"/>
        </w:rPr>
        <w:t xml:space="preserve"> παύει να είναι πράξη αμέλειας και </w:t>
      </w:r>
      <w:r w:rsidRPr="00862492">
        <w:rPr>
          <w:rFonts w:ascii="Times New Roman" w:hAnsi="Times New Roman"/>
          <w:b/>
          <w:bCs/>
          <w:sz w:val="32"/>
          <w:szCs w:val="32"/>
        </w:rPr>
        <w:t>μετατρέπεται σε πράξη συγκάλυψης</w:t>
      </w:r>
      <w:r w:rsidRPr="00862492">
        <w:rPr>
          <w:rFonts w:ascii="Times New Roman" w:hAnsi="Times New Roman"/>
          <w:sz w:val="32"/>
          <w:szCs w:val="32"/>
        </w:rPr>
        <w:t>, με ότι αυτό συνεπάγεται.</w:t>
      </w:r>
    </w:p>
    <w:p w:rsidR="00842E46" w:rsidRPr="00862492" w:rsidRDefault="00802A67" w:rsidP="00093D4D">
      <w:pPr>
        <w:ind w:left="6480" w:right="-193"/>
        <w:rPr>
          <w:rFonts w:ascii="Times New Roman" w:hAnsi="Times New Roman"/>
          <w:b/>
          <w:bCs/>
          <w:sz w:val="32"/>
          <w:szCs w:val="32"/>
        </w:rPr>
      </w:pPr>
      <w:r w:rsidRPr="00862492">
        <w:rPr>
          <w:rFonts w:ascii="Times New Roman" w:hAnsi="Times New Roman"/>
          <w:b/>
          <w:bCs/>
          <w:sz w:val="32"/>
          <w:szCs w:val="32"/>
        </w:rPr>
        <w:t xml:space="preserve">   </w:t>
      </w:r>
      <w:r w:rsidR="00842E46" w:rsidRPr="00862492">
        <w:rPr>
          <w:rFonts w:ascii="Times New Roman" w:hAnsi="Times New Roman"/>
          <w:b/>
          <w:bCs/>
          <w:sz w:val="32"/>
          <w:szCs w:val="32"/>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5">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5"/>
  </w:num>
  <w:num w:numId="3">
    <w:abstractNumId w:val="10"/>
  </w:num>
  <w:num w:numId="4">
    <w:abstractNumId w:val="11"/>
  </w:num>
  <w:num w:numId="5">
    <w:abstractNumId w:val="14"/>
  </w:num>
  <w:num w:numId="6">
    <w:abstractNumId w:val="13"/>
  </w:num>
  <w:num w:numId="7">
    <w:abstractNumId w:val="5"/>
  </w:num>
  <w:num w:numId="8">
    <w:abstractNumId w:val="12"/>
  </w:num>
  <w:num w:numId="9">
    <w:abstractNumId w:val="3"/>
  </w:num>
  <w:num w:numId="10">
    <w:abstractNumId w:val="16"/>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1039E"/>
    <w:rsid w:val="00113AA9"/>
    <w:rsid w:val="00144D11"/>
    <w:rsid w:val="00150AA2"/>
    <w:rsid w:val="00167B46"/>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5C6D"/>
    <w:rsid w:val="0027531B"/>
    <w:rsid w:val="002778C0"/>
    <w:rsid w:val="002B0CEE"/>
    <w:rsid w:val="002E2101"/>
    <w:rsid w:val="002F6A6E"/>
    <w:rsid w:val="0031532B"/>
    <w:rsid w:val="00316345"/>
    <w:rsid w:val="00322FF2"/>
    <w:rsid w:val="003314B3"/>
    <w:rsid w:val="00343378"/>
    <w:rsid w:val="00345081"/>
    <w:rsid w:val="00356C93"/>
    <w:rsid w:val="003612F7"/>
    <w:rsid w:val="00363F9F"/>
    <w:rsid w:val="00372B2E"/>
    <w:rsid w:val="003752CC"/>
    <w:rsid w:val="0039556B"/>
    <w:rsid w:val="003A4624"/>
    <w:rsid w:val="003A62E5"/>
    <w:rsid w:val="003B476C"/>
    <w:rsid w:val="003C2F93"/>
    <w:rsid w:val="003D7E34"/>
    <w:rsid w:val="003F0E0C"/>
    <w:rsid w:val="003F3A97"/>
    <w:rsid w:val="00404FD5"/>
    <w:rsid w:val="00421E14"/>
    <w:rsid w:val="00445A88"/>
    <w:rsid w:val="004460CE"/>
    <w:rsid w:val="00454FAC"/>
    <w:rsid w:val="00455915"/>
    <w:rsid w:val="00490F12"/>
    <w:rsid w:val="00491DD6"/>
    <w:rsid w:val="004A27D5"/>
    <w:rsid w:val="004B0A48"/>
    <w:rsid w:val="004B2B6C"/>
    <w:rsid w:val="004C551B"/>
    <w:rsid w:val="004C60ED"/>
    <w:rsid w:val="005054EA"/>
    <w:rsid w:val="00513CEF"/>
    <w:rsid w:val="00543079"/>
    <w:rsid w:val="0057520D"/>
    <w:rsid w:val="005A44F1"/>
    <w:rsid w:val="005B2F89"/>
    <w:rsid w:val="005D323E"/>
    <w:rsid w:val="005E0A32"/>
    <w:rsid w:val="005E52F3"/>
    <w:rsid w:val="005F1CC2"/>
    <w:rsid w:val="0062468F"/>
    <w:rsid w:val="00630AB0"/>
    <w:rsid w:val="006462F2"/>
    <w:rsid w:val="006507BF"/>
    <w:rsid w:val="006567DE"/>
    <w:rsid w:val="006579AF"/>
    <w:rsid w:val="006638C2"/>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639F1"/>
    <w:rsid w:val="00773BA0"/>
    <w:rsid w:val="0077413F"/>
    <w:rsid w:val="007759AC"/>
    <w:rsid w:val="00776D1B"/>
    <w:rsid w:val="00787609"/>
    <w:rsid w:val="007B126A"/>
    <w:rsid w:val="007B65FE"/>
    <w:rsid w:val="007C56E6"/>
    <w:rsid w:val="007E4951"/>
    <w:rsid w:val="007E599B"/>
    <w:rsid w:val="00802A67"/>
    <w:rsid w:val="008278C0"/>
    <w:rsid w:val="00835764"/>
    <w:rsid w:val="00842E46"/>
    <w:rsid w:val="00850CA4"/>
    <w:rsid w:val="0085391A"/>
    <w:rsid w:val="0085510B"/>
    <w:rsid w:val="008577CD"/>
    <w:rsid w:val="00862492"/>
    <w:rsid w:val="00866852"/>
    <w:rsid w:val="008A4526"/>
    <w:rsid w:val="008A650B"/>
    <w:rsid w:val="008B142B"/>
    <w:rsid w:val="008B5FBD"/>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736"/>
    <w:rsid w:val="009C6A34"/>
    <w:rsid w:val="009C7ABD"/>
    <w:rsid w:val="009F4164"/>
    <w:rsid w:val="00A02B5A"/>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232D"/>
    <w:rsid w:val="00B557DD"/>
    <w:rsid w:val="00B63E39"/>
    <w:rsid w:val="00B67672"/>
    <w:rsid w:val="00B82BF4"/>
    <w:rsid w:val="00BA24DB"/>
    <w:rsid w:val="00BA536E"/>
    <w:rsid w:val="00BA73CB"/>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769392851">
      <w:bodyDiv w:val="1"/>
      <w:marLeft w:val="0"/>
      <w:marRight w:val="0"/>
      <w:marTop w:val="0"/>
      <w:marBottom w:val="0"/>
      <w:divBdr>
        <w:top w:val="none" w:sz="0" w:space="0" w:color="auto"/>
        <w:left w:val="none" w:sz="0" w:space="0" w:color="auto"/>
        <w:bottom w:val="none" w:sz="0" w:space="0" w:color="auto"/>
        <w:right w:val="none" w:sz="0" w:space="0" w:color="auto"/>
      </w:divBdr>
    </w:div>
    <w:div w:id="815951195">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7839340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gdy.gr/%cf%80%ce%b1%cf%81%ce%ad%ce%bc%ce%b2%ce%b1%cf%83%ce%b7-%cf%84%ce%b7%cf%82-%cf%80%ce%b1%ce%bd%ce%b5%ce%bb%ce%bb%ce%ae%ce%bd%ce%b9%ce%b1%cf%82-%ce%bf%ce%bc%ce%bf%cf%83%cf%80%ce%bf%ce%bd%ce%b4%ce%af-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17DA-8BF1-457E-8870-D0FA9762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2534</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5</cp:revision>
  <cp:lastPrinted>2022-11-28T09:18:00Z</cp:lastPrinted>
  <dcterms:created xsi:type="dcterms:W3CDTF">2025-10-22T11:39:00Z</dcterms:created>
  <dcterms:modified xsi:type="dcterms:W3CDTF">2025-10-23T07:36:00Z</dcterms:modified>
</cp:coreProperties>
</file>